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3AC83C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FE1077">
        <w:rPr>
          <w:bCs/>
          <w:noProof w:val="0"/>
          <w:sz w:val="24"/>
          <w:szCs w:val="24"/>
        </w:rPr>
        <w:t>6</w:t>
      </w:r>
      <w:r w:rsidRPr="00B266B0">
        <w:rPr>
          <w:bCs/>
          <w:noProof w:val="0"/>
          <w:sz w:val="24"/>
          <w:szCs w:val="24"/>
        </w:rPr>
        <w:tab/>
      </w:r>
      <w:r w:rsidR="00B50369">
        <w:rPr>
          <w:bCs/>
          <w:noProof w:val="0"/>
          <w:sz w:val="24"/>
          <w:szCs w:val="24"/>
        </w:rPr>
        <w:t>R2-2</w:t>
      </w:r>
      <w:r w:rsidR="00F74086">
        <w:rPr>
          <w:bCs/>
          <w:noProof w:val="0"/>
          <w:sz w:val="24"/>
          <w:szCs w:val="24"/>
        </w:rPr>
        <w:t>4</w:t>
      </w:r>
      <w:r w:rsidR="0098239B">
        <w:rPr>
          <w:bCs/>
          <w:noProof w:val="0"/>
          <w:sz w:val="24"/>
          <w:szCs w:val="24"/>
        </w:rPr>
        <w:t>0</w:t>
      </w:r>
      <w:r w:rsidR="003B7C34">
        <w:rPr>
          <w:bCs/>
          <w:noProof w:val="0"/>
          <w:sz w:val="24"/>
          <w:szCs w:val="24"/>
        </w:rPr>
        <w:t>5155</w:t>
      </w:r>
    </w:p>
    <w:p w14:paraId="11776FA6" w14:textId="655DF44C" w:rsidR="00A209D6" w:rsidRPr="00465587" w:rsidRDefault="00FE1077" w:rsidP="00A209D6">
      <w:pPr>
        <w:pStyle w:val="Header"/>
        <w:tabs>
          <w:tab w:val="right" w:pos="9639"/>
        </w:tabs>
        <w:rPr>
          <w:bCs/>
          <w:sz w:val="24"/>
          <w:szCs w:val="24"/>
          <w:lang w:eastAsia="zh-CN"/>
        </w:rPr>
      </w:pPr>
      <w:r>
        <w:rPr>
          <w:bCs/>
          <w:sz w:val="24"/>
          <w:szCs w:val="24"/>
          <w:lang w:eastAsia="zh-CN"/>
        </w:rPr>
        <w:t>Fukuoka, Japan</w:t>
      </w:r>
      <w:r w:rsidR="003C2C5D">
        <w:rPr>
          <w:bCs/>
          <w:sz w:val="24"/>
          <w:szCs w:val="24"/>
          <w:lang w:eastAsia="zh-CN"/>
        </w:rPr>
        <w:t xml:space="preserve">, </w:t>
      </w:r>
      <w:r>
        <w:rPr>
          <w:bCs/>
          <w:sz w:val="24"/>
          <w:szCs w:val="24"/>
          <w:lang w:eastAsia="zh-CN"/>
        </w:rPr>
        <w:t>20</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May</w:t>
      </w:r>
      <w:r w:rsidR="00646509">
        <w:rPr>
          <w:bCs/>
          <w:sz w:val="24"/>
          <w:szCs w:val="24"/>
          <w:lang w:eastAsia="zh-CN"/>
        </w:rPr>
        <w:t xml:space="preserve"> – </w:t>
      </w:r>
      <w:r>
        <w:rPr>
          <w:bCs/>
          <w:sz w:val="24"/>
          <w:szCs w:val="24"/>
          <w:lang w:eastAsia="zh-CN"/>
        </w:rPr>
        <w:t>24</w:t>
      </w:r>
      <w:r w:rsidR="00F74086"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FF0C05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4BD3EC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D3140">
        <w:rPr>
          <w:rFonts w:eastAsia="SimSun"/>
          <w:b/>
          <w:bCs/>
          <w:sz w:val="24"/>
          <w:szCs w:val="20"/>
          <w:lang w:val="en-GB" w:eastAsia="en-US"/>
        </w:rPr>
        <w:t>E-UTRAN TN to NR NTN basic scenario and signalling</w:t>
      </w:r>
    </w:p>
    <w:p w14:paraId="1F147C23" w14:textId="2588CD8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C96D30">
        <w:rPr>
          <w:rFonts w:eastAsia="SimSun"/>
          <w:b/>
          <w:bCs/>
          <w:sz w:val="24"/>
          <w:szCs w:val="20"/>
          <w:lang w:val="en-GB" w:eastAsia="en-US"/>
        </w:rPr>
        <w:t>LTE_TN_NR_NTN_mob-Core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4195E458" w:rsidR="00F61EF6" w:rsidRDefault="00C702D5" w:rsidP="00F61EF6">
      <w:r>
        <w:t>In RAN#103 the LTE-part of WID for Rel-19</w:t>
      </w:r>
      <w:r w:rsidR="00F61EF6">
        <w:t xml:space="preserve"> was agreed [</w:t>
      </w:r>
      <w:r w:rsidR="00D32165">
        <w:t>1</w:t>
      </w:r>
      <w:r>
        <w:t>]</w:t>
      </w:r>
      <w:r w:rsidR="00F61EF6">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071272D3" w14:textId="77777777" w:rsidR="00C702D5" w:rsidRPr="00C702D5" w:rsidRDefault="00C702D5" w:rsidP="00C702D5">
            <w:pPr>
              <w:spacing w:before="120" w:after="0" w:line="276" w:lineRule="auto"/>
              <w:rPr>
                <w:rFonts w:ascii="Times New Roman" w:hAnsi="Times New Roman" w:cs="Times New Roman"/>
                <w:bCs/>
              </w:rPr>
            </w:pPr>
            <w:r w:rsidRPr="00C702D5">
              <w:rPr>
                <w:rFonts w:ascii="Times New Roman" w:hAnsi="Times New Roman" w:cs="Times New Roman"/>
                <w:bCs/>
              </w:rPr>
              <w:t xml:space="preserve">The </w:t>
            </w:r>
            <w:r w:rsidRPr="00C702D5">
              <w:rPr>
                <w:rFonts w:ascii="Times New Roman" w:hAnsi="Times New Roman" w:cs="Times New Roman"/>
                <w:bCs/>
                <w:lang w:eastAsia="zh-CN"/>
              </w:rPr>
              <w:t xml:space="preserve">work item aims at specifying support for the following </w:t>
            </w:r>
            <w:r w:rsidRPr="00C702D5">
              <w:rPr>
                <w:rFonts w:ascii="Times New Roman" w:hAnsi="Times New Roman" w:cs="Times New Roman"/>
                <w:bCs/>
              </w:rPr>
              <w:t>objectives:</w:t>
            </w:r>
          </w:p>
          <w:p w14:paraId="3F5AE005" w14:textId="65D54960" w:rsidR="00C702D5" w:rsidRPr="00C702D5" w:rsidRDefault="00C702D5" w:rsidP="00C702D5">
            <w:pPr>
              <w:pStyle w:val="ListParagraph"/>
              <w:widowControl w:val="0"/>
              <w:numPr>
                <w:ilvl w:val="0"/>
                <w:numId w:val="42"/>
              </w:numPr>
              <w:spacing w:after="120" w:line="276" w:lineRule="auto"/>
              <w:ind w:left="714" w:hanging="357"/>
              <w:jc w:val="both"/>
              <w:rPr>
                <w:rFonts w:ascii="Times New Roman" w:hAnsi="Times New Roman" w:cs="Times New Roman"/>
                <w:sz w:val="20"/>
                <w:szCs w:val="20"/>
              </w:rPr>
            </w:pPr>
            <w:r w:rsidRPr="00C702D5">
              <w:rPr>
                <w:rFonts w:ascii="Times New Roman" w:hAnsi="Times New Roman" w:cs="Times New Roman"/>
                <w:sz w:val="20"/>
                <w:szCs w:val="20"/>
              </w:rPr>
              <w:t>idle mode mobility based on cell reselection from E-UTRA TN to NR NTN, where E-UTRA TN provides satellite information for NR NTN neighbor cells in a System Information Block. [RAN2]</w:t>
            </w:r>
          </w:p>
        </w:tc>
      </w:tr>
    </w:tbl>
    <w:p w14:paraId="2F01C903" w14:textId="0A5BFFC2" w:rsidR="00C25AEA" w:rsidRDefault="00C25AEA" w:rsidP="00F00A10"/>
    <w:p w14:paraId="66CEE32F" w14:textId="69EBA9D0" w:rsidR="00F00A10" w:rsidRPr="00F97E01" w:rsidRDefault="00C702D5" w:rsidP="00F00A10">
      <w:pPr>
        <w:rPr>
          <w:lang w:eastAsia="ko-KR"/>
        </w:rPr>
      </w:pPr>
      <w:r>
        <w:t>In this contribution, we pro</w:t>
      </w:r>
      <w:r w:rsidR="00CC0591">
        <w:t>vide our views on LTE to NR NTN mobility</w:t>
      </w:r>
      <w:r>
        <w:t xml:space="preserve">. </w:t>
      </w:r>
    </w:p>
    <w:p w14:paraId="6F441B4F" w14:textId="5DB8EE7D" w:rsidR="00033328" w:rsidRPr="00E36FCC" w:rsidRDefault="00DC6A61" w:rsidP="00E36FCC">
      <w:pPr>
        <w:pStyle w:val="Heading1"/>
      </w:pPr>
      <w:r>
        <w:t>Discussion</w:t>
      </w:r>
    </w:p>
    <w:p w14:paraId="286834A3" w14:textId="08C017EE" w:rsidR="00033328" w:rsidRDefault="00033328" w:rsidP="00033328">
      <w:pPr>
        <w:pStyle w:val="Heading2"/>
      </w:pPr>
      <w:r>
        <w:t>Neighb</w:t>
      </w:r>
      <w:r w:rsidR="00C702D5">
        <w:t>our cell measurements in IoT and NR NTN</w:t>
      </w:r>
    </w:p>
    <w:p w14:paraId="58A12500" w14:textId="3E5912C5" w:rsidR="00C702D5" w:rsidRDefault="00C702D5" w:rsidP="00C702D5">
      <w:pPr>
        <w:pStyle w:val="PatentBody"/>
        <w:numPr>
          <w:ilvl w:val="0"/>
          <w:numId w:val="0"/>
        </w:numPr>
        <w:spacing w:after="180" w:line="240" w:lineRule="auto"/>
        <w:jc w:val="both"/>
        <w:rPr>
          <w:sz w:val="20"/>
        </w:rPr>
      </w:pPr>
      <w:r>
        <w:rPr>
          <w:sz w:val="20"/>
        </w:rPr>
        <w:t xml:space="preserve">In Rel-17 IoT NTN was introduced with minimal enhancements for mobility purposes. The idea was that mobility enhancements would not be crucial for a first release due to the use case being to deliver small amounts of IoT data. </w:t>
      </w:r>
      <w:r w:rsidR="00BA2793">
        <w:rPr>
          <w:sz w:val="20"/>
        </w:rPr>
        <w:t>As a consequence,</w:t>
      </w:r>
      <w:r w:rsidR="00717AA9">
        <w:rPr>
          <w:sz w:val="20"/>
        </w:rPr>
        <w:t xml:space="preserve"> there were no specification</w:t>
      </w:r>
      <w:r>
        <w:rPr>
          <w:sz w:val="20"/>
        </w:rPr>
        <w:t xml:space="preserve"> support for neighbour cell measurements, as no signalling to introduce neighbour cell NTN assistance information was introduced. In Rel-18 the use case was for an IoT UE to be connected for a longer time and thus neighbour cell NTN assistance information was introduced to support neighbour cell measurements. </w:t>
      </w:r>
    </w:p>
    <w:p w14:paraId="070EAA1F" w14:textId="7FB3CAF0" w:rsidR="00C702D5" w:rsidRDefault="00C702D5" w:rsidP="00617C43">
      <w:r>
        <w:rPr>
          <w:lang w:val="en-GB" w:eastAsia="en-US"/>
        </w:rPr>
        <w:t>In NR NTN</w:t>
      </w:r>
      <w:r w:rsidR="00BA2793">
        <w:rPr>
          <w:lang w:val="en-GB" w:eastAsia="en-US"/>
        </w:rPr>
        <w:t xml:space="preserve"> the support for neighbour cell measurements were introduced in Rel-17</w:t>
      </w:r>
      <w:r>
        <w:rPr>
          <w:lang w:val="en-GB" w:eastAsia="en-US"/>
        </w:rPr>
        <w:t xml:space="preserve">, </w:t>
      </w:r>
      <w:r w:rsidR="00BA2793">
        <w:rPr>
          <w:lang w:val="en-GB" w:eastAsia="en-US"/>
        </w:rPr>
        <w:t xml:space="preserve">where </w:t>
      </w:r>
      <w:r>
        <w:rPr>
          <w:lang w:val="en-GB" w:eastAsia="en-US"/>
        </w:rPr>
        <w:t>signalling neighbour cell assistance information is supported through broadcasting the assistance information in SIB19</w:t>
      </w:r>
      <w:r w:rsidR="0014623B">
        <w:rPr>
          <w:lang w:val="en-GB" w:eastAsia="en-US"/>
        </w:rPr>
        <w:t xml:space="preserve"> </w:t>
      </w:r>
      <w:r w:rsidR="0014623B">
        <w:t>[</w:t>
      </w:r>
      <w:r w:rsidR="006B44AF">
        <w:t>2</w:t>
      </w:r>
      <w:r w:rsidR="0014623B">
        <w:t>]</w:t>
      </w:r>
      <w:r>
        <w:t xml:space="preserve">: </w:t>
      </w:r>
    </w:p>
    <w:p w14:paraId="39D12FD4" w14:textId="62801D3F" w:rsidR="00C702D5" w:rsidRDefault="00A50928" w:rsidP="00617C43">
      <w:r w:rsidRPr="00A50928">
        <w:rPr>
          <w:noProof/>
          <w:lang w:val="en-GB" w:eastAsia="zh-CN"/>
        </w:rPr>
        <w:lastRenderedPageBreak/>
        <w:drawing>
          <wp:inline distT="0" distB="0" distL="0" distR="0" wp14:anchorId="67EEE807" wp14:editId="5A02FC8C">
            <wp:extent cx="6122035" cy="419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195445"/>
                    </a:xfrm>
                    <a:prstGeom prst="rect">
                      <a:avLst/>
                    </a:prstGeom>
                  </pic:spPr>
                </pic:pic>
              </a:graphicData>
            </a:graphic>
          </wp:inline>
        </w:drawing>
      </w:r>
    </w:p>
    <w:p w14:paraId="36990CEE" w14:textId="2D90CEB4" w:rsidR="00C702D5" w:rsidRDefault="003B7073" w:rsidP="00617C43">
      <w:r>
        <w:t xml:space="preserve">However, in IoT NTN it was agreed to introduce a new separate SIB </w:t>
      </w:r>
      <w:r w:rsidR="00A50928">
        <w:t>for</w:t>
      </w:r>
      <w:r>
        <w:t xml:space="preserve"> signaling neighbour cell NTN assistance information. The reason is because 1) the maximum TBS size in IoT is 1000 bits and 2) if the neighbour cell NTN assistance information is introduced in SIB31, the coverage of all UEs will be affected</w:t>
      </w:r>
      <w:r w:rsidR="00BA2793">
        <w:t>, e</w:t>
      </w:r>
      <w:r w:rsidR="00B8369D">
        <w:t>ven Rel-17 UEs that do not support neighbour cell measurements</w:t>
      </w:r>
      <w:r>
        <w:t>. The SIB33 can be seen below</w:t>
      </w:r>
      <w:r w:rsidR="0014623B">
        <w:t xml:space="preserve"> [</w:t>
      </w:r>
      <w:r w:rsidR="006B44AF">
        <w:t>3</w:t>
      </w:r>
      <w:r w:rsidR="0014623B">
        <w:t>]</w:t>
      </w:r>
      <w:r>
        <w:t xml:space="preserve">: </w:t>
      </w:r>
    </w:p>
    <w:p w14:paraId="64DFFB2B" w14:textId="0633C67F" w:rsidR="003B7073" w:rsidRDefault="00A50928" w:rsidP="0014623B">
      <w:pPr>
        <w:tabs>
          <w:tab w:val="left" w:pos="3065"/>
        </w:tabs>
        <w:jc w:val="center"/>
      </w:pPr>
      <w:r w:rsidRPr="00A50928">
        <w:rPr>
          <w:noProof/>
          <w:lang w:val="en-GB" w:eastAsia="zh-CN"/>
        </w:rPr>
        <w:drawing>
          <wp:inline distT="0" distB="0" distL="0" distR="0" wp14:anchorId="0B52A425" wp14:editId="5928FF69">
            <wp:extent cx="5482629" cy="37242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3206" cy="3731460"/>
                    </a:xfrm>
                    <a:prstGeom prst="rect">
                      <a:avLst/>
                    </a:prstGeom>
                  </pic:spPr>
                </pic:pic>
              </a:graphicData>
            </a:graphic>
          </wp:inline>
        </w:drawing>
      </w:r>
    </w:p>
    <w:p w14:paraId="28B011A1" w14:textId="0C92D8E7" w:rsidR="00E477E8" w:rsidRDefault="003B7073" w:rsidP="00617C43">
      <w:r>
        <w:lastRenderedPageBreak/>
        <w:t xml:space="preserve">While the NR NTN assistance signaling is signalled per frequency or PCI, the IoT NTN signalling </w:t>
      </w:r>
      <w:r w:rsidR="00A50928">
        <w:t>allows for higher efficiency as</w:t>
      </w:r>
      <w:r>
        <w:t xml:space="preserve"> it h</w:t>
      </w:r>
      <w:r w:rsidR="0014623B">
        <w:t>as an identifier</w:t>
      </w:r>
      <w:r w:rsidR="00E477E8">
        <w:t xml:space="preserve"> </w:t>
      </w:r>
      <w:r w:rsidR="00E477E8" w:rsidRPr="00E477E8">
        <w:rPr>
          <w:i/>
        </w:rPr>
        <w:t>satelliteId</w:t>
      </w:r>
      <w:r w:rsidR="0014623B">
        <w:t xml:space="preserve"> th</w:t>
      </w:r>
      <w:r w:rsidR="00BA2793">
        <w:t>at is used to point towards the specific</w:t>
      </w:r>
      <w:r w:rsidR="0014623B">
        <w:t xml:space="preserve"> satellite in</w:t>
      </w:r>
      <w:r>
        <w:t xml:space="preserve"> SIB3, SIB5 as well as </w:t>
      </w:r>
      <w:r w:rsidR="0014623B">
        <w:t xml:space="preserve">in </w:t>
      </w:r>
      <w:r w:rsidR="0014623B" w:rsidRPr="00BA2793">
        <w:rPr>
          <w:i/>
        </w:rPr>
        <w:t>MeasObjectEUTRA</w:t>
      </w:r>
      <w:r w:rsidR="0014623B">
        <w:t xml:space="preserve"> [</w:t>
      </w:r>
      <w:r w:rsidR="00CC2102">
        <w:t>3</w:t>
      </w:r>
      <w:r w:rsidR="0014623B">
        <w:t>]</w:t>
      </w:r>
      <w:r w:rsidR="000C5E68">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225884" w14:paraId="5FEBF98E" w14:textId="77777777" w:rsidTr="00225884">
        <w:trPr>
          <w:trHeight w:val="1408"/>
        </w:trPr>
        <w:tc>
          <w:tcPr>
            <w:tcW w:w="4815" w:type="dxa"/>
          </w:tcPr>
          <w:p w14:paraId="3D18BCB4" w14:textId="59E10EC5" w:rsidR="00225884" w:rsidRDefault="00225884" w:rsidP="00617C43">
            <w:r w:rsidRPr="00AD01B5">
              <w:rPr>
                <w:noProof/>
                <w:lang w:val="en-GB" w:eastAsia="zh-CN"/>
              </w:rPr>
              <w:drawing>
                <wp:inline distT="0" distB="0" distL="0" distR="0" wp14:anchorId="2A00824B" wp14:editId="70935235">
                  <wp:extent cx="2793527" cy="2900149"/>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1333" cy="2949779"/>
                          </a:xfrm>
                          <a:prstGeom prst="rect">
                            <a:avLst/>
                          </a:prstGeom>
                        </pic:spPr>
                      </pic:pic>
                    </a:graphicData>
                  </a:graphic>
                </wp:inline>
              </w:drawing>
            </w:r>
          </w:p>
        </w:tc>
        <w:tc>
          <w:tcPr>
            <w:tcW w:w="4816" w:type="dxa"/>
          </w:tcPr>
          <w:p w14:paraId="790C176F" w14:textId="5A970F6D" w:rsidR="00225884" w:rsidRDefault="00225884" w:rsidP="00617C43">
            <w:r w:rsidRPr="007419DA">
              <w:rPr>
                <w:noProof/>
                <w:lang w:val="en-GB" w:eastAsia="zh-CN"/>
              </w:rPr>
              <w:drawing>
                <wp:inline distT="0" distB="0" distL="0" distR="0" wp14:anchorId="7037A37C" wp14:editId="2187B28D">
                  <wp:extent cx="2682240" cy="31242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3448" cy="3183846"/>
                          </a:xfrm>
                          <a:prstGeom prst="rect">
                            <a:avLst/>
                          </a:prstGeom>
                        </pic:spPr>
                      </pic:pic>
                    </a:graphicData>
                  </a:graphic>
                </wp:inline>
              </w:drawing>
            </w:r>
          </w:p>
        </w:tc>
      </w:tr>
    </w:tbl>
    <w:p w14:paraId="301E1146" w14:textId="6CC6489A" w:rsidR="009607A6" w:rsidRPr="009607A6" w:rsidRDefault="009607A6" w:rsidP="00617C43">
      <w:pPr>
        <w:rPr>
          <w:b/>
        </w:rPr>
      </w:pPr>
      <w:r w:rsidRPr="009607A6">
        <w:rPr>
          <w:b/>
        </w:rPr>
        <w:t xml:space="preserve">Observation 1: IoT NTN uses a satellite ID, which associates an NTN neighbour cell assistance element with a specific frequency or cell in SIB3, SIB5 or MeasObjectEUTRA. </w:t>
      </w:r>
    </w:p>
    <w:p w14:paraId="1D1B4EAE" w14:textId="670DFDA3" w:rsidR="00033328" w:rsidRDefault="009607A6" w:rsidP="00617C43">
      <w:pPr>
        <w:rPr>
          <w:lang w:val="en-GB" w:eastAsia="en-US"/>
        </w:rPr>
      </w:pPr>
      <w:r>
        <w:rPr>
          <w:lang w:val="en-GB" w:eastAsia="en-US"/>
        </w:rPr>
        <w:t>In IoT NTN as well as in NR NTN, it was agreed</w:t>
      </w:r>
      <w:r w:rsidR="00CC2102">
        <w:rPr>
          <w:lang w:val="en-GB" w:eastAsia="en-US"/>
        </w:rPr>
        <w:t xml:space="preserve"> in Release 18</w:t>
      </w:r>
      <w:r>
        <w:rPr>
          <w:lang w:val="en-GB" w:eastAsia="en-US"/>
        </w:rPr>
        <w:t xml:space="preserve"> that it is supported to broadcast NTN neighbour cell assistance information in a terrestrial network for the purpose of TN to NTN mobility. In IoT NTN, this means that SIB33</w:t>
      </w:r>
      <w:r w:rsidR="0094587C">
        <w:rPr>
          <w:lang w:val="en-GB" w:eastAsia="en-US"/>
        </w:rPr>
        <w:t>/SIB33-NB</w:t>
      </w:r>
      <w:r>
        <w:rPr>
          <w:lang w:val="en-GB" w:eastAsia="en-US"/>
        </w:rPr>
        <w:t xml:space="preserve"> may be broadcasted in a terrestrial network. </w:t>
      </w:r>
      <w:r w:rsidR="00E253C2">
        <w:rPr>
          <w:lang w:val="en-GB" w:eastAsia="en-US"/>
        </w:rPr>
        <w:t xml:space="preserve">This is supported both for LTE-M and NB-IoT. </w:t>
      </w:r>
    </w:p>
    <w:p w14:paraId="1617CA92" w14:textId="6688B8FC" w:rsidR="009607A6" w:rsidRPr="009607A6" w:rsidRDefault="009607A6" w:rsidP="009607A6">
      <w:pPr>
        <w:rPr>
          <w:b/>
        </w:rPr>
      </w:pPr>
      <w:r w:rsidRPr="009607A6">
        <w:rPr>
          <w:b/>
        </w:rPr>
        <w:t xml:space="preserve">Observation </w:t>
      </w:r>
      <w:r>
        <w:rPr>
          <w:b/>
        </w:rPr>
        <w:t>2</w:t>
      </w:r>
      <w:r w:rsidRPr="009607A6">
        <w:rPr>
          <w:b/>
        </w:rPr>
        <w:t xml:space="preserve">: </w:t>
      </w:r>
      <w:r>
        <w:rPr>
          <w:b/>
        </w:rPr>
        <w:t>It is supported to broadcast SIB33</w:t>
      </w:r>
      <w:r w:rsidR="00C4567F">
        <w:rPr>
          <w:b/>
        </w:rPr>
        <w:t>/SIB33-NB</w:t>
      </w:r>
      <w:r>
        <w:rPr>
          <w:b/>
        </w:rPr>
        <w:t xml:space="preserve"> in a terrestrial network for the purpose of mobility from an IoT terrestrial network to an IoT NTN network</w:t>
      </w:r>
      <w:r w:rsidRPr="009607A6">
        <w:rPr>
          <w:b/>
        </w:rPr>
        <w:t xml:space="preserve">. </w:t>
      </w:r>
    </w:p>
    <w:p w14:paraId="071B095B" w14:textId="45D71372" w:rsidR="005169B6" w:rsidRPr="00617C43" w:rsidRDefault="005169B6" w:rsidP="00617C43">
      <w:pPr>
        <w:rPr>
          <w:lang w:val="en-GB" w:eastAsia="en-US"/>
        </w:rPr>
      </w:pPr>
    </w:p>
    <w:p w14:paraId="52DAC474" w14:textId="344C5542" w:rsidR="00FE1077" w:rsidRPr="00042344" w:rsidRDefault="0014623B" w:rsidP="00FE1077">
      <w:pPr>
        <w:pStyle w:val="Heading2"/>
      </w:pPr>
      <w:r>
        <w:t>E-UTRAN TN to NR NTN</w:t>
      </w:r>
    </w:p>
    <w:p w14:paraId="21636977" w14:textId="3F785ADF" w:rsidR="00FE1077" w:rsidRDefault="008C4BF8" w:rsidP="00FE1077">
      <w:pPr>
        <w:pStyle w:val="Heading3"/>
      </w:pPr>
      <w:r>
        <w:t>Scenario support</w:t>
      </w:r>
    </w:p>
    <w:p w14:paraId="6F7D6C5F" w14:textId="3CDFDE54" w:rsidR="003E5877" w:rsidRDefault="003E5877" w:rsidP="00FE1077">
      <w:pPr>
        <w:rPr>
          <w:lang w:val="en-GB" w:eastAsia="en-US"/>
        </w:rPr>
      </w:pPr>
      <w:r>
        <w:rPr>
          <w:lang w:val="en-GB" w:eastAsia="en-US"/>
        </w:rPr>
        <w:t>In the last meeting it was discussed for what type of E-UTRAN UE</w:t>
      </w:r>
      <w:r w:rsidR="00EC5330">
        <w:rPr>
          <w:lang w:val="en-GB" w:eastAsia="en-US"/>
        </w:rPr>
        <w:t>s</w:t>
      </w:r>
      <w:r>
        <w:rPr>
          <w:lang w:val="en-GB" w:eastAsia="en-US"/>
        </w:rPr>
        <w:t xml:space="preserve"> that E-UTRAN TN to NR NTN UEs idle mode mobility </w:t>
      </w:r>
      <w:r w:rsidR="00EC5330">
        <w:rPr>
          <w:lang w:val="en-GB" w:eastAsia="en-US"/>
        </w:rPr>
        <w:t>should apply to</w:t>
      </w:r>
      <w:r>
        <w:rPr>
          <w:lang w:val="en-GB" w:eastAsia="en-US"/>
        </w:rPr>
        <w:t xml:space="preserve">: </w:t>
      </w:r>
    </w:p>
    <w:tbl>
      <w:tblPr>
        <w:tblStyle w:val="TableGrid"/>
        <w:tblW w:w="0" w:type="auto"/>
        <w:tblLook w:val="04A0" w:firstRow="1" w:lastRow="0" w:firstColumn="1" w:lastColumn="0" w:noHBand="0" w:noVBand="1"/>
      </w:tblPr>
      <w:tblGrid>
        <w:gridCol w:w="9631"/>
      </w:tblGrid>
      <w:tr w:rsidR="00EC5330" w14:paraId="3939A260" w14:textId="77777777" w:rsidTr="00EC5330">
        <w:tc>
          <w:tcPr>
            <w:tcW w:w="9631" w:type="dxa"/>
          </w:tcPr>
          <w:p w14:paraId="76BD39C4" w14:textId="77777777" w:rsidR="00EC5330" w:rsidRPr="00A066A8" w:rsidRDefault="00EC5330" w:rsidP="00EC5330">
            <w:pPr>
              <w:pStyle w:val="Doc-title"/>
            </w:pPr>
            <w:r w:rsidRPr="00A066A8">
              <w:t>R2-2402809</w:t>
            </w:r>
            <w:r w:rsidRPr="00A066A8">
              <w:tab/>
              <w:t>Idle mode mobility from LTE to NR NTN</w:t>
            </w:r>
            <w:r w:rsidRPr="00A066A8">
              <w:tab/>
              <w:t>Qualcomm Incorporated</w:t>
            </w:r>
            <w:r w:rsidRPr="00A066A8">
              <w:tab/>
              <w:t>discussion</w:t>
            </w:r>
            <w:r w:rsidRPr="00A066A8">
              <w:tab/>
              <w:t>Rel-19</w:t>
            </w:r>
            <w:r w:rsidRPr="00A066A8">
              <w:tab/>
              <w:t>NR_NTN_Ph3-Core</w:t>
            </w:r>
          </w:p>
          <w:p w14:paraId="545E0D36" w14:textId="77777777" w:rsidR="00EC5330" w:rsidRPr="00A066A8" w:rsidRDefault="00EC5330" w:rsidP="00EC5330">
            <w:pPr>
              <w:pStyle w:val="Comments"/>
            </w:pPr>
            <w:r w:rsidRPr="00A066A8">
              <w:t>Proposal 1</w:t>
            </w:r>
            <w:r w:rsidRPr="00A066A8">
              <w:tab/>
              <w:t>Confirm normal LTE UE, non-Cat M UE, eMTC UE and NB-IoT UE are in scope.</w:t>
            </w:r>
          </w:p>
          <w:p w14:paraId="372DB7F2" w14:textId="77777777" w:rsidR="00EC5330" w:rsidRPr="00A066A8" w:rsidRDefault="00EC5330" w:rsidP="00EC5330">
            <w:pPr>
              <w:pStyle w:val="Doc-text2"/>
            </w:pPr>
            <w:r w:rsidRPr="00A066A8">
              <w:t>-</w:t>
            </w:r>
            <w:r w:rsidRPr="00A066A8">
              <w:tab/>
              <w:t>Samsung thinks at least NB-IoT UE to NR NTN should not be considered. Nokia agrees</w:t>
            </w:r>
          </w:p>
          <w:p w14:paraId="6FF684E5" w14:textId="77777777" w:rsidR="00EC5330" w:rsidRPr="00A066A8" w:rsidRDefault="00EC5330" w:rsidP="00EC5330">
            <w:pPr>
              <w:pStyle w:val="Doc-text2"/>
            </w:pPr>
            <w:r w:rsidRPr="00A066A8">
              <w:t>-</w:t>
            </w:r>
            <w:r w:rsidRPr="00A066A8">
              <w:tab/>
              <w:t>HW thinks the intention is to limit to normal LTE UEs</w:t>
            </w:r>
          </w:p>
          <w:p w14:paraId="5F55380E" w14:textId="77777777" w:rsidR="00EC5330" w:rsidRPr="00A066A8" w:rsidRDefault="00EC5330" w:rsidP="00EC5330">
            <w:pPr>
              <w:pStyle w:val="Agreement"/>
              <w:tabs>
                <w:tab w:val="clear" w:pos="9990"/>
              </w:tabs>
              <w:overflowPunct/>
              <w:autoSpaceDE/>
              <w:autoSpaceDN/>
              <w:adjustRightInd/>
              <w:ind w:left="1619" w:hanging="360"/>
              <w:textAlignment w:val="auto"/>
            </w:pPr>
            <w:r w:rsidRPr="00A066A8">
              <w:t>At least normal LTE UE are in scope</w:t>
            </w:r>
          </w:p>
          <w:p w14:paraId="63545C75" w14:textId="77777777" w:rsidR="00EC5330" w:rsidRPr="00A066A8" w:rsidRDefault="00EC5330" w:rsidP="00EC5330">
            <w:pPr>
              <w:pStyle w:val="Agreement"/>
              <w:tabs>
                <w:tab w:val="clear" w:pos="9990"/>
              </w:tabs>
              <w:overflowPunct/>
              <w:autoSpaceDE/>
              <w:autoSpaceDN/>
              <w:adjustRightInd/>
              <w:ind w:left="1619" w:hanging="360"/>
              <w:textAlignment w:val="auto"/>
            </w:pPr>
            <w:r w:rsidRPr="00A066A8">
              <w:t>Can come back in the next meeting to check if also eMTC UE and NB-IoT UEs could also be considered in scope</w:t>
            </w:r>
          </w:p>
          <w:p w14:paraId="366BD982" w14:textId="77777777" w:rsidR="00EC5330" w:rsidRPr="00A066A8" w:rsidRDefault="00EC5330" w:rsidP="00EC5330">
            <w:pPr>
              <w:pStyle w:val="Comments"/>
            </w:pPr>
            <w:r w:rsidRPr="00A066A8">
              <w:t>Proposal 2</w:t>
            </w:r>
            <w:r w:rsidRPr="00A066A8">
              <w:tab/>
              <w:t>Confirm that LTE to ATG NR cell mobility, i.e., broadcasting information of SIB22 is not in scope.</w:t>
            </w:r>
          </w:p>
          <w:p w14:paraId="0B5AE616" w14:textId="3D6FB188" w:rsidR="00EC5330" w:rsidRPr="00EC5330" w:rsidRDefault="00EC5330" w:rsidP="00EC5330">
            <w:pPr>
              <w:pStyle w:val="Doc-text2"/>
              <w:spacing w:after="120"/>
            </w:pPr>
            <w:r w:rsidRPr="00A066A8">
              <w:t>-</w:t>
            </w:r>
            <w:r w:rsidRPr="00A066A8">
              <w:tab/>
              <w:t>CMCC thinks it’s too early to preclude this</w:t>
            </w:r>
          </w:p>
        </w:tc>
      </w:tr>
    </w:tbl>
    <w:p w14:paraId="3ACDAB62" w14:textId="4DC1062F" w:rsidR="00F53F52" w:rsidRDefault="00F53F52" w:rsidP="00FE1077">
      <w:pPr>
        <w:rPr>
          <w:lang w:val="en-GB" w:eastAsia="en-US"/>
        </w:rPr>
      </w:pPr>
    </w:p>
    <w:p w14:paraId="730147E5" w14:textId="3D74898D" w:rsidR="00FE1077" w:rsidRDefault="003E5877" w:rsidP="00FE1077">
      <w:pPr>
        <w:rPr>
          <w:lang w:val="en-GB" w:eastAsia="en-US"/>
        </w:rPr>
      </w:pPr>
      <w:r>
        <w:rPr>
          <w:lang w:val="en-GB" w:eastAsia="en-US"/>
        </w:rPr>
        <w:t xml:space="preserve">In the discussions in RAN2#125bis it was discussed whether NB-IoT and eMTC UE should be supported, as it is already implied by the WID that normal E-UTRAN UE should be able to support it. For eMTC, our understanding is that any LTE feature introduced may potentially apply to eMTC, thus we believe that eMTC </w:t>
      </w:r>
      <w:r>
        <w:rPr>
          <w:lang w:val="en-GB" w:eastAsia="en-US"/>
        </w:rPr>
        <w:lastRenderedPageBreak/>
        <w:t xml:space="preserve">can be supported unless there are any serious issues discovered. These issues may for instance be RAN4 requirements or similar. </w:t>
      </w:r>
    </w:p>
    <w:p w14:paraId="065E4F24" w14:textId="57654AD5" w:rsidR="003E5877" w:rsidRPr="00F4579A" w:rsidRDefault="009607B9" w:rsidP="00FE1077">
      <w:pPr>
        <w:rPr>
          <w:b/>
          <w:lang w:val="en-GB" w:eastAsia="en-US"/>
        </w:rPr>
      </w:pPr>
      <w:r w:rsidRPr="00F4579A">
        <w:rPr>
          <w:b/>
          <w:lang w:val="en-GB" w:eastAsia="en-US"/>
        </w:rPr>
        <w:t xml:space="preserve">Proposal 1: </w:t>
      </w:r>
      <w:r w:rsidR="000E47EB">
        <w:rPr>
          <w:b/>
          <w:lang w:val="en-GB" w:eastAsia="en-US"/>
        </w:rPr>
        <w:t>Like all E-UTRAN features implies support for eMTC</w:t>
      </w:r>
      <w:r w:rsidR="00EC5330">
        <w:rPr>
          <w:b/>
          <w:lang w:val="en-GB" w:eastAsia="en-US"/>
        </w:rPr>
        <w:t xml:space="preserve"> UEs</w:t>
      </w:r>
      <w:r w:rsidR="000E47EB">
        <w:rPr>
          <w:b/>
          <w:lang w:val="en-GB" w:eastAsia="en-US"/>
        </w:rPr>
        <w:t xml:space="preserve">, </w:t>
      </w:r>
      <w:r w:rsidRPr="00F4579A">
        <w:rPr>
          <w:b/>
          <w:lang w:val="en-GB" w:eastAsia="en-US"/>
        </w:rPr>
        <w:t>RAN2 assumes eMTC TN to NR NTN is supported</w:t>
      </w:r>
      <w:r w:rsidR="00A67DC4" w:rsidRPr="00F4579A">
        <w:rPr>
          <w:b/>
          <w:lang w:val="en-GB" w:eastAsia="en-US"/>
        </w:rPr>
        <w:t xml:space="preserve">, </w:t>
      </w:r>
      <w:r w:rsidRPr="00F4579A">
        <w:rPr>
          <w:b/>
          <w:lang w:val="en-GB" w:eastAsia="en-US"/>
        </w:rPr>
        <w:t>unless issues</w:t>
      </w:r>
      <w:r w:rsidR="000E47EB">
        <w:rPr>
          <w:b/>
          <w:lang w:val="en-GB" w:eastAsia="en-US"/>
        </w:rPr>
        <w:t xml:space="preserve"> such as RAN4 aspects</w:t>
      </w:r>
      <w:r w:rsidRPr="00F4579A">
        <w:rPr>
          <w:b/>
          <w:lang w:val="en-GB" w:eastAsia="en-US"/>
        </w:rPr>
        <w:t xml:space="preserve"> are found</w:t>
      </w:r>
      <w:r w:rsidR="00A67DC4" w:rsidRPr="00F4579A">
        <w:rPr>
          <w:b/>
          <w:lang w:val="en-GB" w:eastAsia="en-US"/>
        </w:rPr>
        <w:t xml:space="preserve">. </w:t>
      </w:r>
      <w:r w:rsidR="000E47EB">
        <w:rPr>
          <w:b/>
          <w:lang w:val="en-GB" w:eastAsia="en-US"/>
        </w:rPr>
        <w:t xml:space="preserve">RAN2 assumes no </w:t>
      </w:r>
      <w:r w:rsidR="00C4567F">
        <w:rPr>
          <w:b/>
          <w:lang w:val="en-GB" w:eastAsia="en-US"/>
        </w:rPr>
        <w:t xml:space="preserve">additional </w:t>
      </w:r>
      <w:r w:rsidR="000E47EB">
        <w:rPr>
          <w:b/>
          <w:lang w:val="en-GB" w:eastAsia="en-US"/>
        </w:rPr>
        <w:t>specification effort is needed</w:t>
      </w:r>
      <w:r w:rsidR="00A3675E">
        <w:rPr>
          <w:b/>
          <w:lang w:val="en-GB" w:eastAsia="en-US"/>
        </w:rPr>
        <w:t xml:space="preserve"> to support this</w:t>
      </w:r>
      <w:r w:rsidR="000E47EB">
        <w:rPr>
          <w:b/>
          <w:lang w:val="en-GB" w:eastAsia="en-US"/>
        </w:rPr>
        <w:t xml:space="preserve">. </w:t>
      </w:r>
      <w:r w:rsidR="00A67DC4" w:rsidRPr="00F4579A">
        <w:rPr>
          <w:b/>
          <w:lang w:val="en-GB" w:eastAsia="en-US"/>
        </w:rPr>
        <w:t xml:space="preserve"> </w:t>
      </w:r>
    </w:p>
    <w:p w14:paraId="644FF693" w14:textId="181A7A6D" w:rsidR="003E5877" w:rsidRDefault="003E5877" w:rsidP="00FE1077">
      <w:pPr>
        <w:rPr>
          <w:lang w:val="en-GB" w:eastAsia="en-US"/>
        </w:rPr>
      </w:pPr>
      <w:r>
        <w:rPr>
          <w:lang w:val="en-GB" w:eastAsia="en-US"/>
        </w:rPr>
        <w:t xml:space="preserve">For NB-IoT it is different. The reason is because it is currently not possible to signal any type of NR frequency information for NB-IoT to </w:t>
      </w:r>
      <w:r w:rsidR="005013F5">
        <w:rPr>
          <w:lang w:val="en-GB" w:eastAsia="en-US"/>
        </w:rPr>
        <w:t>5G NR</w:t>
      </w:r>
      <w:r w:rsidR="00927E18">
        <w:rPr>
          <w:lang w:val="en-GB" w:eastAsia="en-US"/>
        </w:rPr>
        <w:t>, while this is possible to E-UTRAN to NB-IoT idle mode mobility</w:t>
      </w:r>
      <w:r w:rsidR="005013F5">
        <w:rPr>
          <w:lang w:val="en-GB" w:eastAsia="en-US"/>
        </w:rPr>
        <w:t xml:space="preserve">. For NB-IoT it is currently only supported to signal inter-RAT information for GERAN. One may argue that introducing support for signalling NR frequency information may be reasonable to add, but the use case of such a device NB-IoT TN to NR NTN idle mode mobility is not clear. In our view, the use cause of a device that supports NR TN and NB-IoT NTN is </w:t>
      </w:r>
      <w:r w:rsidR="009607B9">
        <w:rPr>
          <w:lang w:val="en-GB" w:eastAsia="en-US"/>
        </w:rPr>
        <w:t>clearer</w:t>
      </w:r>
      <w:r w:rsidR="005013F5">
        <w:rPr>
          <w:lang w:val="en-GB" w:eastAsia="en-US"/>
        </w:rPr>
        <w:t>, as the NB-IoT NTN can be used for text messaging and emergency signal</w:t>
      </w:r>
      <w:r w:rsidR="00D0620C">
        <w:rPr>
          <w:lang w:val="en-GB" w:eastAsia="en-US"/>
        </w:rPr>
        <w:t>l</w:t>
      </w:r>
      <w:r w:rsidR="005013F5">
        <w:rPr>
          <w:lang w:val="en-GB" w:eastAsia="en-US"/>
        </w:rPr>
        <w:t>ing.</w:t>
      </w:r>
      <w:r w:rsidR="00D0620C">
        <w:rPr>
          <w:lang w:val="en-GB" w:eastAsia="en-US"/>
        </w:rPr>
        <w:t xml:space="preserve"> </w:t>
      </w:r>
      <w:r w:rsidR="00981274">
        <w:rPr>
          <w:lang w:val="en-GB" w:eastAsia="en-US"/>
        </w:rPr>
        <w:t xml:space="preserve">Furthermore, to support idle mode mobility from NB-IoT to NR, there would also be a need to support NR to NB-IoT idle mode mobility. </w:t>
      </w:r>
    </w:p>
    <w:p w14:paraId="572E6D81" w14:textId="534366A3" w:rsidR="009607B9" w:rsidRDefault="009607B9" w:rsidP="00FE1077">
      <w:pPr>
        <w:rPr>
          <w:b/>
          <w:lang w:val="en-GB" w:eastAsia="en-US"/>
        </w:rPr>
      </w:pPr>
      <w:r w:rsidRPr="00981274">
        <w:rPr>
          <w:b/>
          <w:lang w:val="en-GB" w:eastAsia="en-US"/>
        </w:rPr>
        <w:t>Obs</w:t>
      </w:r>
      <w:r w:rsidR="00B20B82">
        <w:rPr>
          <w:b/>
          <w:lang w:val="en-GB" w:eastAsia="en-US"/>
        </w:rPr>
        <w:t>ervation 3</w:t>
      </w:r>
      <w:r w:rsidRPr="00981274">
        <w:rPr>
          <w:b/>
          <w:lang w:val="en-GB" w:eastAsia="en-US"/>
        </w:rPr>
        <w:t>: The use case for a device supporting NB-</w:t>
      </w:r>
      <w:r w:rsidR="00981274">
        <w:rPr>
          <w:b/>
          <w:lang w:val="en-GB" w:eastAsia="en-US"/>
        </w:rPr>
        <w:t xml:space="preserve">IoT TN and NR NTN is not clear, much less the need for mobility in-between them. </w:t>
      </w:r>
    </w:p>
    <w:p w14:paraId="00CF3E30" w14:textId="29311604" w:rsidR="0087245D" w:rsidRPr="00981274" w:rsidRDefault="0087245D" w:rsidP="00FE1077">
      <w:pPr>
        <w:rPr>
          <w:b/>
          <w:lang w:val="en-GB" w:eastAsia="en-US"/>
        </w:rPr>
      </w:pPr>
      <w:r w:rsidRPr="00981274">
        <w:rPr>
          <w:b/>
          <w:lang w:val="en-GB" w:eastAsia="en-US"/>
        </w:rPr>
        <w:t>Obs</w:t>
      </w:r>
      <w:r w:rsidR="00B20B82">
        <w:rPr>
          <w:b/>
          <w:lang w:val="en-GB" w:eastAsia="en-US"/>
        </w:rPr>
        <w:t>ervation 4</w:t>
      </w:r>
      <w:r w:rsidRPr="00981274">
        <w:rPr>
          <w:b/>
          <w:lang w:val="en-GB" w:eastAsia="en-US"/>
        </w:rPr>
        <w:t xml:space="preserve">: </w:t>
      </w:r>
      <w:r>
        <w:rPr>
          <w:b/>
          <w:lang w:val="en-GB" w:eastAsia="en-US"/>
        </w:rPr>
        <w:t xml:space="preserve">For NB-IoT TN to NR NTN idle mode mobility, there would be a need </w:t>
      </w:r>
      <w:r w:rsidR="00C4567F">
        <w:rPr>
          <w:b/>
          <w:lang w:val="en-GB" w:eastAsia="en-US"/>
        </w:rPr>
        <w:t xml:space="preserve">to </w:t>
      </w:r>
      <w:r>
        <w:rPr>
          <w:b/>
          <w:lang w:val="en-GB" w:eastAsia="en-US"/>
        </w:rPr>
        <w:t xml:space="preserve">add basic support for NB-IoT </w:t>
      </w:r>
      <w:r w:rsidR="00C4567F">
        <w:rPr>
          <w:b/>
          <w:lang w:val="en-GB" w:eastAsia="en-US"/>
        </w:rPr>
        <w:t xml:space="preserve">TN </w:t>
      </w:r>
      <w:r>
        <w:rPr>
          <w:b/>
          <w:lang w:val="en-GB" w:eastAsia="en-US"/>
        </w:rPr>
        <w:t xml:space="preserve">to NR </w:t>
      </w:r>
      <w:r w:rsidR="00C4567F">
        <w:rPr>
          <w:b/>
          <w:lang w:val="en-GB" w:eastAsia="en-US"/>
        </w:rPr>
        <w:t xml:space="preserve">TN </w:t>
      </w:r>
      <w:r>
        <w:rPr>
          <w:b/>
          <w:lang w:val="en-GB" w:eastAsia="en-US"/>
        </w:rPr>
        <w:t>and NR</w:t>
      </w:r>
      <w:r w:rsidR="00C4567F">
        <w:rPr>
          <w:b/>
          <w:lang w:val="en-GB" w:eastAsia="en-US"/>
        </w:rPr>
        <w:t xml:space="preserve"> TN</w:t>
      </w:r>
      <w:r>
        <w:rPr>
          <w:b/>
          <w:lang w:val="en-GB" w:eastAsia="en-US"/>
        </w:rPr>
        <w:t xml:space="preserve"> to NB-IoT </w:t>
      </w:r>
      <w:r w:rsidR="00C4567F">
        <w:rPr>
          <w:b/>
          <w:lang w:val="en-GB" w:eastAsia="en-US"/>
        </w:rPr>
        <w:t xml:space="preserve">TN </w:t>
      </w:r>
      <w:r>
        <w:rPr>
          <w:b/>
          <w:lang w:val="en-GB" w:eastAsia="en-US"/>
        </w:rPr>
        <w:t xml:space="preserve">mobility. </w:t>
      </w:r>
    </w:p>
    <w:p w14:paraId="1DAF20EA" w14:textId="4F34E824" w:rsidR="003E5877" w:rsidRPr="00752676" w:rsidRDefault="00752676" w:rsidP="00FE1077">
      <w:pPr>
        <w:rPr>
          <w:b/>
          <w:lang w:val="en-GB" w:eastAsia="en-US"/>
        </w:rPr>
      </w:pPr>
      <w:r>
        <w:rPr>
          <w:b/>
          <w:lang w:val="en-GB" w:eastAsia="en-US"/>
        </w:rPr>
        <w:t>Proposal 2</w:t>
      </w:r>
      <w:r w:rsidR="009607B9" w:rsidRPr="00981274">
        <w:rPr>
          <w:b/>
          <w:lang w:val="en-GB" w:eastAsia="en-US"/>
        </w:rPr>
        <w:t>: NB-IoT TN to NR NTN</w:t>
      </w:r>
      <w:r w:rsidR="00981274" w:rsidRPr="00981274">
        <w:rPr>
          <w:b/>
          <w:lang w:val="en-GB" w:eastAsia="en-US"/>
        </w:rPr>
        <w:t xml:space="preserve"> idle mode mobility</w:t>
      </w:r>
      <w:r w:rsidR="009607B9" w:rsidRPr="00981274">
        <w:rPr>
          <w:b/>
          <w:lang w:val="en-GB" w:eastAsia="en-US"/>
        </w:rPr>
        <w:t xml:space="preserve"> is not supported. </w:t>
      </w:r>
    </w:p>
    <w:p w14:paraId="2031FF9E" w14:textId="559545BB" w:rsidR="00F53F52" w:rsidRDefault="00F53F52" w:rsidP="008C4BF8">
      <w:pPr>
        <w:rPr>
          <w:lang w:val="en-GB" w:eastAsia="en-US"/>
        </w:rPr>
      </w:pPr>
      <w:r>
        <w:rPr>
          <w:lang w:val="en-GB" w:eastAsia="en-US"/>
        </w:rPr>
        <w:t>One other proposal that was discussed is whether LTE TN to NR ATG should be supported. We believe that this can be useful for an ATG system</w:t>
      </w:r>
      <w:r w:rsidR="00B911F1">
        <w:rPr>
          <w:lang w:val="en-GB" w:eastAsia="en-US"/>
        </w:rPr>
        <w:t xml:space="preserve">. However, </w:t>
      </w:r>
      <w:r>
        <w:rPr>
          <w:lang w:val="en-GB" w:eastAsia="en-US"/>
        </w:rPr>
        <w:t>since NR TN to NR ATG</w:t>
      </w:r>
      <w:r w:rsidR="006A6B7B">
        <w:rPr>
          <w:lang w:val="en-GB" w:eastAsia="en-US"/>
        </w:rPr>
        <w:t xml:space="preserve"> mobility</w:t>
      </w:r>
      <w:r>
        <w:rPr>
          <w:lang w:val="en-GB" w:eastAsia="en-US"/>
        </w:rPr>
        <w:t xml:space="preserve"> is not supported and since it is not in the WID, we do not see how it can be pursued in this work item. </w:t>
      </w:r>
      <w:r w:rsidR="006A6B7B">
        <w:rPr>
          <w:lang w:val="en-GB" w:eastAsia="en-US"/>
        </w:rPr>
        <w:t>Another complication is that SIB22, which is the SIB for NR ATG, was never introduced in 36.331. (LTE/NR) TN to NR ATG mobility</w:t>
      </w:r>
      <w:r w:rsidR="009D3A31">
        <w:rPr>
          <w:lang w:val="en-GB" w:eastAsia="en-US"/>
        </w:rPr>
        <w:t xml:space="preserve"> could potentially be pursued under Release 19 ATG, or in a TEI19. </w:t>
      </w:r>
    </w:p>
    <w:p w14:paraId="1457FC38" w14:textId="1E18C6DB" w:rsidR="009D3A31" w:rsidRPr="00752676" w:rsidRDefault="009D3A31" w:rsidP="009D3A31">
      <w:pPr>
        <w:rPr>
          <w:b/>
          <w:lang w:val="en-GB" w:eastAsia="en-US"/>
        </w:rPr>
      </w:pPr>
      <w:r>
        <w:rPr>
          <w:b/>
          <w:lang w:val="en-GB" w:eastAsia="en-US"/>
        </w:rPr>
        <w:t>Proposal 3</w:t>
      </w:r>
      <w:r w:rsidRPr="00981274">
        <w:rPr>
          <w:b/>
          <w:lang w:val="en-GB" w:eastAsia="en-US"/>
        </w:rPr>
        <w:t xml:space="preserve">: </w:t>
      </w:r>
      <w:r>
        <w:rPr>
          <w:b/>
          <w:lang w:val="en-GB" w:eastAsia="en-US"/>
        </w:rPr>
        <w:t xml:space="preserve">LTE TN to NR ATG is </w:t>
      </w:r>
      <w:r w:rsidR="00D64D90">
        <w:rPr>
          <w:b/>
          <w:lang w:val="en-GB" w:eastAsia="en-US"/>
        </w:rPr>
        <w:t>not considered for</w:t>
      </w:r>
      <w:r>
        <w:rPr>
          <w:b/>
          <w:lang w:val="en-GB" w:eastAsia="en-US"/>
        </w:rPr>
        <w:t xml:space="preserve"> Rel-19 NTN WI – up to Rel-19 ATG or TEI</w:t>
      </w:r>
      <w:r w:rsidR="00313D77">
        <w:rPr>
          <w:b/>
          <w:lang w:val="en-GB" w:eastAsia="en-US"/>
        </w:rPr>
        <w:t>19</w:t>
      </w:r>
      <w:r>
        <w:rPr>
          <w:b/>
          <w:lang w:val="en-GB" w:eastAsia="en-US"/>
        </w:rPr>
        <w:t xml:space="preserve"> if deemed useful</w:t>
      </w:r>
      <w:r w:rsidRPr="00981274">
        <w:rPr>
          <w:b/>
          <w:lang w:val="en-GB" w:eastAsia="en-US"/>
        </w:rPr>
        <w:t xml:space="preserve">. </w:t>
      </w:r>
    </w:p>
    <w:p w14:paraId="33C48E38" w14:textId="495CF3CB" w:rsidR="00FE1077" w:rsidRDefault="00FE1077" w:rsidP="00FE1077">
      <w:pPr>
        <w:rPr>
          <w:lang w:val="en-GB" w:eastAsia="en-US"/>
        </w:rPr>
      </w:pPr>
    </w:p>
    <w:p w14:paraId="360A9FBC" w14:textId="064130AF" w:rsidR="00FE1077" w:rsidRDefault="00DC7C2A" w:rsidP="008C4BF8">
      <w:pPr>
        <w:pStyle w:val="Heading3"/>
      </w:pPr>
      <w:r>
        <w:t>Signalling</w:t>
      </w:r>
    </w:p>
    <w:p w14:paraId="2FB6ECCE" w14:textId="7EB6E470" w:rsidR="00E90402" w:rsidRDefault="00E90402" w:rsidP="0014623B">
      <w:pPr>
        <w:rPr>
          <w:lang w:val="en-GB" w:eastAsia="en-US"/>
        </w:rPr>
      </w:pPr>
      <w:r>
        <w:rPr>
          <w:lang w:val="en-GB" w:eastAsia="en-US"/>
        </w:rPr>
        <w:t xml:space="preserve">To support E-UTRAN TN to NR NTN mobility, we think that the IoT NTN signalling of system information shall be reused to the largest extent possible. For instance one way to support signalling assistance information for E-UTRAN TN to NR NTN is that SIB33 can be used to broadcast NR NTN information in an E-UTRAN terrestrial network. </w:t>
      </w:r>
    </w:p>
    <w:p w14:paraId="28BC04E9" w14:textId="06F9A893" w:rsidR="0088726A" w:rsidRDefault="00E90402" w:rsidP="0014623B">
      <w:pPr>
        <w:rPr>
          <w:lang w:val="en-GB" w:eastAsia="en-US"/>
        </w:rPr>
      </w:pPr>
      <w:r>
        <w:rPr>
          <w:lang w:val="en-GB" w:eastAsia="en-US"/>
        </w:rPr>
        <w:t xml:space="preserve">There are certain minor differences in the neighbour cell assistance information of IoT NTN and NR NTN: </w:t>
      </w:r>
    </w:p>
    <w:p w14:paraId="1E04B958" w14:textId="33DA9D00" w:rsidR="00E90402" w:rsidRDefault="00227BE3" w:rsidP="00227BE3">
      <w:pPr>
        <w:pStyle w:val="ListParagraph"/>
        <w:numPr>
          <w:ilvl w:val="0"/>
          <w:numId w:val="43"/>
        </w:numPr>
        <w:rPr>
          <w:sz w:val="20"/>
          <w:lang w:val="en-GB" w:eastAsia="en-US"/>
        </w:rPr>
      </w:pPr>
      <w:r w:rsidRPr="00227BE3">
        <w:rPr>
          <w:sz w:val="20"/>
          <w:lang w:val="en-GB" w:eastAsia="en-US"/>
        </w:rPr>
        <w:t xml:space="preserve">The </w:t>
      </w:r>
      <w:r>
        <w:rPr>
          <w:sz w:val="20"/>
          <w:lang w:val="en-GB" w:eastAsia="en-US"/>
        </w:rPr>
        <w:t>TA common is slightly different with different amount of steps and step sizes</w:t>
      </w:r>
      <w:r w:rsidR="0088726A">
        <w:rPr>
          <w:sz w:val="20"/>
          <w:lang w:val="en-GB" w:eastAsia="en-US"/>
        </w:rPr>
        <w:t>:</w:t>
      </w:r>
      <w:r>
        <w:rPr>
          <w:sz w:val="20"/>
          <w:lang w:val="en-GB" w:eastAsia="en-US"/>
        </w:rPr>
        <w:t xml:space="preserve"> </w:t>
      </w:r>
    </w:p>
    <w:p w14:paraId="59FE7681" w14:textId="1C4986C2" w:rsidR="00227BE3" w:rsidRDefault="00227BE3" w:rsidP="00227BE3">
      <w:pPr>
        <w:pStyle w:val="ListParagraph"/>
        <w:numPr>
          <w:ilvl w:val="1"/>
          <w:numId w:val="43"/>
        </w:numPr>
        <w:rPr>
          <w:sz w:val="20"/>
          <w:lang w:val="en-GB" w:eastAsia="en-US"/>
        </w:rPr>
      </w:pPr>
      <w:r>
        <w:rPr>
          <w:sz w:val="20"/>
          <w:lang w:val="en-GB" w:eastAsia="en-US"/>
        </w:rPr>
        <w:t xml:space="preserve">In IoT NTN: </w:t>
      </w:r>
    </w:p>
    <w:p w14:paraId="695AAAC2" w14:textId="783DDF8D" w:rsidR="00227BE3" w:rsidRPr="0088726A" w:rsidRDefault="00227BE3" w:rsidP="0088726A">
      <w:pPr>
        <w:pStyle w:val="ListParagraph"/>
        <w:numPr>
          <w:ilvl w:val="2"/>
          <w:numId w:val="43"/>
        </w:numPr>
        <w:rPr>
          <w:sz w:val="20"/>
          <w:lang w:val="en-GB" w:eastAsia="en-US"/>
        </w:rPr>
      </w:pPr>
      <w:r>
        <w:rPr>
          <w:sz w:val="20"/>
          <w:lang w:val="en-GB" w:eastAsia="en-US"/>
        </w:rPr>
        <w:t xml:space="preserve">TA-Common has step size of </w:t>
      </w:r>
      <w:r w:rsidR="0088726A">
        <w:rPr>
          <w:sz w:val="20"/>
          <w:lang w:val="en-GB" w:eastAsia="en-US"/>
        </w:rPr>
        <w:t>32.55208 * 10</w:t>
      </w:r>
      <w:r w:rsidR="0088726A">
        <w:rPr>
          <w:sz w:val="20"/>
          <w:vertAlign w:val="superscript"/>
          <w:lang w:val="en-GB" w:eastAsia="en-US"/>
        </w:rPr>
        <w:t>-3</w:t>
      </w:r>
      <w:r w:rsidR="0088726A">
        <w:rPr>
          <w:sz w:val="20"/>
          <w:lang w:val="en-GB" w:eastAsia="en-US"/>
        </w:rPr>
        <w:t xml:space="preserve"> s and integer-value range of 0 to 8.316.827</w:t>
      </w:r>
    </w:p>
    <w:p w14:paraId="185EE64B" w14:textId="70D99E32" w:rsidR="00227BE3" w:rsidRDefault="00227BE3" w:rsidP="00227BE3">
      <w:pPr>
        <w:pStyle w:val="ListParagraph"/>
        <w:numPr>
          <w:ilvl w:val="1"/>
          <w:numId w:val="43"/>
        </w:numPr>
        <w:rPr>
          <w:sz w:val="20"/>
          <w:lang w:val="en-GB" w:eastAsia="en-US"/>
        </w:rPr>
      </w:pPr>
      <w:r>
        <w:rPr>
          <w:sz w:val="20"/>
          <w:lang w:val="en-GB" w:eastAsia="en-US"/>
        </w:rPr>
        <w:t xml:space="preserve">In NR NTN: </w:t>
      </w:r>
    </w:p>
    <w:p w14:paraId="6796D90D" w14:textId="3A75F8B5" w:rsidR="00227BE3" w:rsidRDefault="004E26DF" w:rsidP="00227BE3">
      <w:pPr>
        <w:pStyle w:val="ListParagraph"/>
        <w:numPr>
          <w:ilvl w:val="2"/>
          <w:numId w:val="43"/>
        </w:numPr>
        <w:rPr>
          <w:sz w:val="20"/>
          <w:lang w:val="en-GB" w:eastAsia="en-US"/>
        </w:rPr>
      </w:pPr>
      <w:r>
        <w:rPr>
          <w:sz w:val="20"/>
          <w:lang w:val="en-GB" w:eastAsia="en-US"/>
        </w:rPr>
        <w:t>TA</w:t>
      </w:r>
      <w:r w:rsidR="00227BE3">
        <w:rPr>
          <w:sz w:val="20"/>
          <w:lang w:val="en-GB" w:eastAsia="en-US"/>
        </w:rPr>
        <w:t>-Common</w:t>
      </w:r>
      <w:r w:rsidR="0088726A">
        <w:rPr>
          <w:sz w:val="20"/>
          <w:lang w:val="en-GB" w:eastAsia="en-US"/>
        </w:rPr>
        <w:t xml:space="preserve"> has step size of 4.072 * 10</w:t>
      </w:r>
      <w:r w:rsidR="0088726A">
        <w:rPr>
          <w:sz w:val="20"/>
          <w:vertAlign w:val="superscript"/>
          <w:lang w:val="en-GB" w:eastAsia="en-US"/>
        </w:rPr>
        <w:t>-3</w:t>
      </w:r>
      <w:r w:rsidR="0088726A">
        <w:rPr>
          <w:sz w:val="20"/>
          <w:lang w:val="en-GB" w:eastAsia="en-US"/>
        </w:rPr>
        <w:t xml:space="preserve"> s and integer-value range of 0 to 66.485.757</w:t>
      </w:r>
    </w:p>
    <w:p w14:paraId="36E8541A" w14:textId="7931A224" w:rsidR="00227BE3" w:rsidRDefault="0088726A" w:rsidP="0088726A">
      <w:pPr>
        <w:pStyle w:val="ListParagraph"/>
        <w:numPr>
          <w:ilvl w:val="1"/>
          <w:numId w:val="43"/>
        </w:numPr>
        <w:rPr>
          <w:sz w:val="20"/>
          <w:lang w:val="en-GB" w:eastAsia="en-US"/>
        </w:rPr>
      </w:pPr>
      <w:r>
        <w:rPr>
          <w:sz w:val="20"/>
          <w:lang w:val="en-GB" w:eastAsia="en-US"/>
        </w:rPr>
        <w:t>The first and second derivative have the same step size but different maximum values</w:t>
      </w:r>
    </w:p>
    <w:p w14:paraId="7FDE65D9" w14:textId="08BC872C" w:rsidR="0088726A" w:rsidRDefault="0088726A" w:rsidP="0088726A">
      <w:pPr>
        <w:rPr>
          <w:lang w:val="en-GB" w:eastAsia="en-US"/>
        </w:rPr>
      </w:pPr>
    </w:p>
    <w:p w14:paraId="72AD36C4" w14:textId="791C7B60" w:rsidR="00E90402" w:rsidRDefault="0088726A" w:rsidP="0014623B">
      <w:pPr>
        <w:rPr>
          <w:lang w:val="en-GB" w:eastAsia="en-US"/>
        </w:rPr>
      </w:pPr>
      <w:r>
        <w:rPr>
          <w:lang w:val="en-GB" w:eastAsia="en-US"/>
        </w:rPr>
        <w:t xml:space="preserve">Translating in between the NR NTN NTN-Config and IoT NTN NeighSatelliteInfo should not be any issues as </w:t>
      </w:r>
      <w:r w:rsidR="00B3205D">
        <w:rPr>
          <w:lang w:val="en-GB" w:eastAsia="en-US"/>
        </w:rPr>
        <w:t>only the TA common is different</w:t>
      </w:r>
      <w:r>
        <w:rPr>
          <w:lang w:val="en-GB" w:eastAsia="en-US"/>
        </w:rPr>
        <w:t>. Thus we think that it can be agreed that SIB33</w:t>
      </w:r>
      <w:r w:rsidR="00915DB3">
        <w:rPr>
          <w:lang w:val="en-GB" w:eastAsia="en-US"/>
        </w:rPr>
        <w:t xml:space="preserve"> and the ephemeris elements are</w:t>
      </w:r>
      <w:r>
        <w:rPr>
          <w:lang w:val="en-GB" w:eastAsia="en-US"/>
        </w:rPr>
        <w:t xml:space="preserve"> used to broadcast NR NTN neighbour cell ephemeris. </w:t>
      </w:r>
    </w:p>
    <w:p w14:paraId="0A235157" w14:textId="700A886C" w:rsidR="00E90402" w:rsidRDefault="00272D5F" w:rsidP="0014623B">
      <w:pPr>
        <w:rPr>
          <w:lang w:val="en-GB" w:eastAsia="en-US"/>
        </w:rPr>
      </w:pPr>
      <w:r>
        <w:rPr>
          <w:b/>
        </w:rPr>
        <w:t xml:space="preserve">Proposal </w:t>
      </w:r>
      <w:r w:rsidR="0094577F">
        <w:rPr>
          <w:b/>
        </w:rPr>
        <w:t>4</w:t>
      </w:r>
      <w:r w:rsidR="00E90402">
        <w:rPr>
          <w:b/>
        </w:rPr>
        <w:t xml:space="preserve">: </w:t>
      </w:r>
      <w:r w:rsidR="00CC2102">
        <w:rPr>
          <w:b/>
        </w:rPr>
        <w:t xml:space="preserve">Confirm that </w:t>
      </w:r>
      <w:r w:rsidR="00E90402">
        <w:rPr>
          <w:b/>
        </w:rPr>
        <w:t>SIB33</w:t>
      </w:r>
      <w:r w:rsidR="004E26DF">
        <w:rPr>
          <w:b/>
        </w:rPr>
        <w:t xml:space="preserve"> and its ephemeris</w:t>
      </w:r>
      <w:r w:rsidR="00E90402">
        <w:rPr>
          <w:b/>
        </w:rPr>
        <w:t xml:space="preserve"> is used to broadcast</w:t>
      </w:r>
      <w:r w:rsidR="0088726A">
        <w:rPr>
          <w:b/>
        </w:rPr>
        <w:t xml:space="preserve"> </w:t>
      </w:r>
      <w:r w:rsidR="00E90402">
        <w:rPr>
          <w:b/>
        </w:rPr>
        <w:t xml:space="preserve">NR NTN neighbour cell </w:t>
      </w:r>
      <w:r w:rsidR="0088726A">
        <w:rPr>
          <w:b/>
        </w:rPr>
        <w:t>ephemeris</w:t>
      </w:r>
      <w:r w:rsidR="00E90402">
        <w:rPr>
          <w:b/>
        </w:rPr>
        <w:t xml:space="preserve"> in an E-UTRAN terrestrial network.</w:t>
      </w:r>
      <w:r w:rsidR="0088726A">
        <w:rPr>
          <w:b/>
        </w:rPr>
        <w:t xml:space="preserve"> No new SIB is introduced. </w:t>
      </w:r>
    </w:p>
    <w:p w14:paraId="44860A1A" w14:textId="63388E2C" w:rsidR="00E90402" w:rsidRDefault="00B3205D" w:rsidP="0014623B">
      <w:pPr>
        <w:rPr>
          <w:lang w:val="en-GB" w:eastAsia="en-US"/>
        </w:rPr>
      </w:pPr>
      <w:r>
        <w:rPr>
          <w:lang w:val="en-GB" w:eastAsia="en-US"/>
        </w:rPr>
        <w:t xml:space="preserve">Assistance information for E-UTRAN to NR mobility is already supported for Release 15 through the introduction of SIB24. Thus we think that for E-UTRAN to NR mobility, non-NTN specific fields that are </w:t>
      </w:r>
      <w:r>
        <w:rPr>
          <w:lang w:val="en-GB" w:eastAsia="en-US"/>
        </w:rPr>
        <w:lastRenderedPageBreak/>
        <w:t xml:space="preserve">needed for E-UTRAN to NR NTN mobility, shall be derived from SIB24. This includes frequency information, idle/inactive mode parameters, SCS parameters and SMTC parameters. </w:t>
      </w:r>
    </w:p>
    <w:p w14:paraId="67F88760" w14:textId="70B0FDD2" w:rsidR="00B3205D" w:rsidRDefault="00184245" w:rsidP="00B3205D">
      <w:pPr>
        <w:rPr>
          <w:lang w:val="en-GB" w:eastAsia="en-US"/>
        </w:rPr>
      </w:pPr>
      <w:r>
        <w:rPr>
          <w:b/>
        </w:rPr>
        <w:t xml:space="preserve">Proposal </w:t>
      </w:r>
      <w:r w:rsidR="0094577F">
        <w:rPr>
          <w:b/>
        </w:rPr>
        <w:t>5</w:t>
      </w:r>
      <w:r w:rsidR="00B3205D">
        <w:rPr>
          <w:b/>
        </w:rPr>
        <w:t>: SIB24 is used to provide</w:t>
      </w:r>
      <w:r w:rsidR="00D7532C">
        <w:rPr>
          <w:b/>
        </w:rPr>
        <w:t xml:space="preserve"> the</w:t>
      </w:r>
      <w:r w:rsidR="003D424F">
        <w:rPr>
          <w:b/>
        </w:rPr>
        <w:t xml:space="preserve"> parameters</w:t>
      </w:r>
      <w:r w:rsidR="0038794C">
        <w:rPr>
          <w:b/>
        </w:rPr>
        <w:t xml:space="preserve"> that are required for </w:t>
      </w:r>
      <w:r w:rsidR="00E65D34">
        <w:rPr>
          <w:b/>
        </w:rPr>
        <w:t xml:space="preserve">legacy </w:t>
      </w:r>
      <w:r w:rsidR="0038794C">
        <w:rPr>
          <w:b/>
        </w:rPr>
        <w:t>E-UTRAN to NR idle/inactive mode mobility</w:t>
      </w:r>
      <w:r w:rsidR="003D424F">
        <w:rPr>
          <w:b/>
        </w:rPr>
        <w:t xml:space="preserve"> (</w:t>
      </w:r>
      <w:r w:rsidR="0038794C">
        <w:rPr>
          <w:b/>
        </w:rPr>
        <w:t>such as SCS, SMTC, frequency and cell reselection parameters</w:t>
      </w:r>
      <w:r w:rsidR="003D424F">
        <w:rPr>
          <w:b/>
        </w:rPr>
        <w:t>)</w:t>
      </w:r>
      <w:r w:rsidR="00B3205D">
        <w:rPr>
          <w:b/>
        </w:rPr>
        <w:t xml:space="preserve">. These parameters should not be provided in SIB33. </w:t>
      </w:r>
    </w:p>
    <w:p w14:paraId="4F93DCFA" w14:textId="77777777" w:rsidR="00E90402" w:rsidRPr="0014623B" w:rsidRDefault="00E90402" w:rsidP="0014623B">
      <w:pPr>
        <w:rPr>
          <w:lang w:val="en-GB" w:eastAsia="en-US"/>
        </w:rPr>
      </w:pPr>
    </w:p>
    <w:p w14:paraId="5FF2457F" w14:textId="72E1A9E3" w:rsidR="00A209D6" w:rsidRPr="006E13D1" w:rsidRDefault="008C3057" w:rsidP="003F11FC">
      <w:pPr>
        <w:pStyle w:val="Heading1"/>
        <w:jc w:val="both"/>
      </w:pPr>
      <w:r>
        <w:t>Conclusion</w:t>
      </w:r>
    </w:p>
    <w:p w14:paraId="6B206649" w14:textId="25D97587"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840024">
        <w:rPr>
          <w:lang w:eastAsia="ko-KR"/>
        </w:rPr>
        <w:t>issues related to E-UTRAN TN to NR NTN mobility</w:t>
      </w:r>
      <w:r w:rsidR="006D3140">
        <w:rPr>
          <w:lang w:eastAsia="ko-KR"/>
        </w:rPr>
        <w:t>.</w:t>
      </w:r>
    </w:p>
    <w:p w14:paraId="3FE27ACF" w14:textId="77777777" w:rsidR="007F585D" w:rsidRPr="009607A6" w:rsidRDefault="007F585D" w:rsidP="007F585D">
      <w:pPr>
        <w:rPr>
          <w:b/>
        </w:rPr>
      </w:pPr>
      <w:r w:rsidRPr="009607A6">
        <w:rPr>
          <w:b/>
        </w:rPr>
        <w:t xml:space="preserve">Observation 1: IoT NTN uses a satellite ID, which associates an NTN neighbour cell assistance element with a specific frequency or cell in SIB3, SIB5 or MeasObjectEUTRA. </w:t>
      </w:r>
    </w:p>
    <w:p w14:paraId="5D783B46" w14:textId="77777777" w:rsidR="007F585D" w:rsidRPr="009607A6" w:rsidRDefault="007F585D" w:rsidP="007F585D">
      <w:pPr>
        <w:rPr>
          <w:b/>
        </w:rPr>
      </w:pPr>
      <w:r w:rsidRPr="009607A6">
        <w:rPr>
          <w:b/>
        </w:rPr>
        <w:t xml:space="preserve">Observation </w:t>
      </w:r>
      <w:r>
        <w:rPr>
          <w:b/>
        </w:rPr>
        <w:t>2</w:t>
      </w:r>
      <w:r w:rsidRPr="009607A6">
        <w:rPr>
          <w:b/>
        </w:rPr>
        <w:t xml:space="preserve">: </w:t>
      </w:r>
      <w:r>
        <w:rPr>
          <w:b/>
        </w:rPr>
        <w:t>It is supported to broadcast SIB33/SIB33-NB in a terrestrial network for the purpose of mobility from an IoT terrestrial network to an IoT NTN network</w:t>
      </w:r>
      <w:r w:rsidRPr="009607A6">
        <w:rPr>
          <w:b/>
        </w:rPr>
        <w:t xml:space="preserve">. </w:t>
      </w:r>
    </w:p>
    <w:p w14:paraId="46DC9738" w14:textId="77777777" w:rsidR="007F585D" w:rsidRDefault="007F585D" w:rsidP="007F585D">
      <w:pPr>
        <w:rPr>
          <w:b/>
          <w:lang w:val="en-GB" w:eastAsia="en-US"/>
        </w:rPr>
      </w:pPr>
      <w:r w:rsidRPr="00981274">
        <w:rPr>
          <w:b/>
          <w:lang w:val="en-GB" w:eastAsia="en-US"/>
        </w:rPr>
        <w:t>Obs</w:t>
      </w:r>
      <w:r>
        <w:rPr>
          <w:b/>
          <w:lang w:val="en-GB" w:eastAsia="en-US"/>
        </w:rPr>
        <w:t>ervation 3</w:t>
      </w:r>
      <w:r w:rsidRPr="00981274">
        <w:rPr>
          <w:b/>
          <w:lang w:val="en-GB" w:eastAsia="en-US"/>
        </w:rPr>
        <w:t>: The use case for a device supporting NB-</w:t>
      </w:r>
      <w:r>
        <w:rPr>
          <w:b/>
          <w:lang w:val="en-GB" w:eastAsia="en-US"/>
        </w:rPr>
        <w:t xml:space="preserve">IoT TN and NR NTN is not clear, much less the need for mobility in-between them. </w:t>
      </w:r>
    </w:p>
    <w:p w14:paraId="42A6DAFC" w14:textId="77777777" w:rsidR="007F585D" w:rsidRPr="00981274" w:rsidRDefault="007F585D" w:rsidP="007F585D">
      <w:pPr>
        <w:rPr>
          <w:b/>
          <w:lang w:val="en-GB" w:eastAsia="en-US"/>
        </w:rPr>
      </w:pPr>
      <w:r w:rsidRPr="00981274">
        <w:rPr>
          <w:b/>
          <w:lang w:val="en-GB" w:eastAsia="en-US"/>
        </w:rPr>
        <w:t>Obs</w:t>
      </w:r>
      <w:r>
        <w:rPr>
          <w:b/>
          <w:lang w:val="en-GB" w:eastAsia="en-US"/>
        </w:rPr>
        <w:t>ervation 4</w:t>
      </w:r>
      <w:r w:rsidRPr="00981274">
        <w:rPr>
          <w:b/>
          <w:lang w:val="en-GB" w:eastAsia="en-US"/>
        </w:rPr>
        <w:t xml:space="preserve">: </w:t>
      </w:r>
      <w:r>
        <w:rPr>
          <w:b/>
          <w:lang w:val="en-GB" w:eastAsia="en-US"/>
        </w:rPr>
        <w:t xml:space="preserve">For NB-IoT TN to NR NTN idle mode mobility, there would be a need to add basic support for NB-IoT TN to NR TN and NR TN to NB-IoT TN mobility. </w:t>
      </w:r>
    </w:p>
    <w:p w14:paraId="53FDEB78" w14:textId="77777777" w:rsidR="007F585D" w:rsidRPr="00F4579A" w:rsidRDefault="007F585D" w:rsidP="007F585D">
      <w:pPr>
        <w:rPr>
          <w:b/>
          <w:lang w:val="en-GB" w:eastAsia="en-US"/>
        </w:rPr>
      </w:pPr>
      <w:r w:rsidRPr="00F4579A">
        <w:rPr>
          <w:b/>
          <w:lang w:val="en-GB" w:eastAsia="en-US"/>
        </w:rPr>
        <w:t xml:space="preserve">Proposal 1: </w:t>
      </w:r>
      <w:r>
        <w:rPr>
          <w:b/>
          <w:lang w:val="en-GB" w:eastAsia="en-US"/>
        </w:rPr>
        <w:t xml:space="preserve">Like all E-UTRAN features implies support for eMTC UEs, </w:t>
      </w:r>
      <w:r w:rsidRPr="00F4579A">
        <w:rPr>
          <w:b/>
          <w:lang w:val="en-GB" w:eastAsia="en-US"/>
        </w:rPr>
        <w:t>RAN2 assumes eMTC TN to NR NTN is supported, unless issues</w:t>
      </w:r>
      <w:r>
        <w:rPr>
          <w:b/>
          <w:lang w:val="en-GB" w:eastAsia="en-US"/>
        </w:rPr>
        <w:t xml:space="preserve"> such as RAN4 aspects</w:t>
      </w:r>
      <w:r w:rsidRPr="00F4579A">
        <w:rPr>
          <w:b/>
          <w:lang w:val="en-GB" w:eastAsia="en-US"/>
        </w:rPr>
        <w:t xml:space="preserve"> are found. </w:t>
      </w:r>
      <w:r>
        <w:rPr>
          <w:b/>
          <w:lang w:val="en-GB" w:eastAsia="en-US"/>
        </w:rPr>
        <w:t>RAN2 assumes no additional specification effort is needed to support this.</w:t>
      </w:r>
      <w:bookmarkStart w:id="0" w:name="_GoBack"/>
      <w:bookmarkEnd w:id="0"/>
      <w:r>
        <w:rPr>
          <w:b/>
          <w:lang w:val="en-GB" w:eastAsia="en-US"/>
        </w:rPr>
        <w:t xml:space="preserve"> </w:t>
      </w:r>
      <w:r w:rsidRPr="00F4579A">
        <w:rPr>
          <w:b/>
          <w:lang w:val="en-GB" w:eastAsia="en-US"/>
        </w:rPr>
        <w:t xml:space="preserve"> </w:t>
      </w:r>
    </w:p>
    <w:p w14:paraId="2A389535" w14:textId="77777777" w:rsidR="007F585D" w:rsidRPr="00752676" w:rsidRDefault="007F585D" w:rsidP="007F585D">
      <w:pPr>
        <w:rPr>
          <w:b/>
          <w:lang w:val="en-GB" w:eastAsia="en-US"/>
        </w:rPr>
      </w:pPr>
      <w:r>
        <w:rPr>
          <w:b/>
          <w:lang w:val="en-GB" w:eastAsia="en-US"/>
        </w:rPr>
        <w:t>Proposal 2</w:t>
      </w:r>
      <w:r w:rsidRPr="00981274">
        <w:rPr>
          <w:b/>
          <w:lang w:val="en-GB" w:eastAsia="en-US"/>
        </w:rPr>
        <w:t xml:space="preserve">: NB-IoT TN to NR NTN idle mode mobility is not supported. </w:t>
      </w:r>
    </w:p>
    <w:p w14:paraId="1C2BC90D" w14:textId="77777777" w:rsidR="007F585D" w:rsidRPr="00752676" w:rsidRDefault="007F585D" w:rsidP="007F585D">
      <w:pPr>
        <w:rPr>
          <w:b/>
          <w:lang w:val="en-GB" w:eastAsia="en-US"/>
        </w:rPr>
      </w:pPr>
      <w:r>
        <w:rPr>
          <w:b/>
          <w:lang w:val="en-GB" w:eastAsia="en-US"/>
        </w:rPr>
        <w:t>Proposal 3</w:t>
      </w:r>
      <w:r w:rsidRPr="00981274">
        <w:rPr>
          <w:b/>
          <w:lang w:val="en-GB" w:eastAsia="en-US"/>
        </w:rPr>
        <w:t xml:space="preserve">: </w:t>
      </w:r>
      <w:r>
        <w:rPr>
          <w:b/>
          <w:lang w:val="en-GB" w:eastAsia="en-US"/>
        </w:rPr>
        <w:t>LTE TN to NR ATG is not considered for Rel-19 NTN WI – up to Rel-19 ATG or TEI19 if deemed useful</w:t>
      </w:r>
      <w:r w:rsidRPr="00981274">
        <w:rPr>
          <w:b/>
          <w:lang w:val="en-GB" w:eastAsia="en-US"/>
        </w:rPr>
        <w:t xml:space="preserve">. </w:t>
      </w:r>
    </w:p>
    <w:p w14:paraId="496DF4A1" w14:textId="77777777" w:rsidR="007F585D" w:rsidRDefault="007F585D" w:rsidP="007F585D">
      <w:pPr>
        <w:rPr>
          <w:lang w:val="en-GB" w:eastAsia="en-US"/>
        </w:rPr>
      </w:pPr>
      <w:r>
        <w:rPr>
          <w:b/>
        </w:rPr>
        <w:t xml:space="preserve">Proposal 4: Confirm that SIB33 and its ephemeris is used to broadcast NR NTN neighbour cell ephemeris in an E-UTRAN terrestrial network. No new SIB is introduced. </w:t>
      </w:r>
    </w:p>
    <w:p w14:paraId="55702A70" w14:textId="77777777" w:rsidR="007F585D" w:rsidRDefault="007F585D" w:rsidP="007F585D">
      <w:pPr>
        <w:rPr>
          <w:lang w:val="en-GB" w:eastAsia="en-US"/>
        </w:rPr>
      </w:pPr>
      <w:r>
        <w:rPr>
          <w:b/>
        </w:rPr>
        <w:t xml:space="preserve">Proposal 5: SIB24 is used to provide the parameters that are required for legacy E-UTRAN to NR idle/inactive mode mobility (such as SCS, SMTC, frequency and cell reselection parameters). These parameters should not be provided in SIB33. </w:t>
      </w:r>
    </w:p>
    <w:p w14:paraId="654C4504" w14:textId="661607B6" w:rsidR="00902165" w:rsidRDefault="0090216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374B8195" w:rsidR="00D32165" w:rsidRPr="00D32165" w:rsidRDefault="00D32165" w:rsidP="00BF409E">
      <w:pPr>
        <w:pStyle w:val="references"/>
        <w:spacing w:after="180" w:line="240" w:lineRule="auto"/>
        <w:rPr>
          <w:szCs w:val="20"/>
        </w:rPr>
      </w:pPr>
      <w:r>
        <w:rPr>
          <w:rFonts w:ascii="Arial" w:hAnsi="Arial" w:cs="Arial"/>
          <w:szCs w:val="20"/>
        </w:rPr>
        <w:t>RP-2</w:t>
      </w:r>
      <w:r w:rsidR="0091471D">
        <w:rPr>
          <w:rFonts w:ascii="Arial" w:hAnsi="Arial" w:cs="Arial"/>
          <w:szCs w:val="20"/>
        </w:rPr>
        <w:t>40846</w:t>
      </w:r>
      <w:r>
        <w:rPr>
          <w:rFonts w:ascii="Arial" w:hAnsi="Arial" w:cs="Arial"/>
          <w:szCs w:val="20"/>
        </w:rPr>
        <w:t xml:space="preserve">, </w:t>
      </w:r>
      <w:r w:rsidR="0091471D">
        <w:rPr>
          <w:rFonts w:ascii="Arial" w:hAnsi="Arial" w:cs="Arial"/>
          <w:szCs w:val="20"/>
        </w:rPr>
        <w:t>New WID: Inter RAT mobility support from E-UTRAN TN to NR-NTN</w:t>
      </w:r>
      <w:r>
        <w:rPr>
          <w:rFonts w:ascii="Arial" w:hAnsi="Arial" w:cs="Arial"/>
          <w:szCs w:val="20"/>
        </w:rPr>
        <w:t xml:space="preserve">, </w:t>
      </w:r>
      <w:r w:rsidR="0091471D">
        <w:rPr>
          <w:rFonts w:ascii="Arial" w:hAnsi="Arial" w:cs="Arial"/>
          <w:szCs w:val="20"/>
        </w:rPr>
        <w:t>Thales, CATT, RAN#103</w:t>
      </w:r>
      <w:r>
        <w:rPr>
          <w:rFonts w:ascii="Arial" w:hAnsi="Arial" w:cs="Arial"/>
          <w:szCs w:val="20"/>
        </w:rPr>
        <w:t>,</w:t>
      </w:r>
      <w:r w:rsidR="0091471D">
        <w:rPr>
          <w:rFonts w:ascii="Arial" w:hAnsi="Arial" w:cs="Arial"/>
          <w:szCs w:val="20"/>
        </w:rPr>
        <w:t xml:space="preserve"> Maastrict, Netherlands, March</w:t>
      </w:r>
      <w:r>
        <w:rPr>
          <w:rFonts w:ascii="Arial" w:hAnsi="Arial" w:cs="Arial"/>
          <w:szCs w:val="20"/>
        </w:rPr>
        <w:t xml:space="preserve"> 202</w:t>
      </w:r>
      <w:r w:rsidR="0091471D">
        <w:rPr>
          <w:rFonts w:ascii="Arial" w:hAnsi="Arial" w:cs="Arial"/>
          <w:szCs w:val="20"/>
        </w:rPr>
        <w:t>4</w:t>
      </w:r>
    </w:p>
    <w:p w14:paraId="759B7670" w14:textId="77777777" w:rsidR="00A50928" w:rsidRPr="000A0A7F" w:rsidRDefault="00A50928" w:rsidP="00A50928">
      <w:pPr>
        <w:pStyle w:val="references"/>
        <w:spacing w:after="180" w:line="240" w:lineRule="auto"/>
        <w:rPr>
          <w:szCs w:val="20"/>
        </w:rPr>
      </w:pPr>
      <w:r>
        <w:rPr>
          <w:rFonts w:ascii="Arial" w:hAnsi="Arial" w:cs="Arial"/>
          <w:szCs w:val="20"/>
        </w:rPr>
        <w:t xml:space="preserve">3GPP TS 38.331, “NR; Radio Resource Control (RRC) protocol specification”, V18.1.0, Release 18, March 2024. </w:t>
      </w:r>
    </w:p>
    <w:p w14:paraId="17003FF1" w14:textId="2D19F4AF" w:rsidR="001767C8" w:rsidRPr="00500BE0" w:rsidRDefault="00A50928" w:rsidP="00500BE0">
      <w:pPr>
        <w:pStyle w:val="references"/>
        <w:spacing w:after="180" w:line="240" w:lineRule="auto"/>
        <w:rPr>
          <w:szCs w:val="20"/>
        </w:rPr>
      </w:pPr>
      <w:r>
        <w:rPr>
          <w:rFonts w:ascii="Arial" w:hAnsi="Arial" w:cs="Arial"/>
          <w:szCs w:val="20"/>
        </w:rPr>
        <w:t>3GPP TS 36.331, “Evolved Universal Terrestrial Radio Access (E-UTRA); Radio Resource Control (RRC)”, V18.1.0, Release 18, March 2024.</w:t>
      </w:r>
    </w:p>
    <w:p w14:paraId="0E2D6087" w14:textId="70172AB8" w:rsidR="009607A6" w:rsidRDefault="009607A6" w:rsidP="001767C8">
      <w:pPr>
        <w:rPr>
          <w:lang w:val="en-GB" w:eastAsia="en-US"/>
        </w:rPr>
      </w:pPr>
    </w:p>
    <w:p w14:paraId="7D2E588D" w14:textId="77777777" w:rsidR="009607A6" w:rsidRDefault="009607A6" w:rsidP="009607A6"/>
    <w:p w14:paraId="1A41FD9F" w14:textId="70AB7CD3" w:rsidR="009607A6" w:rsidRDefault="009607A6" w:rsidP="001767C8">
      <w:pPr>
        <w:rPr>
          <w:lang w:val="en-GB" w:eastAsia="en-US"/>
        </w:rPr>
      </w:pPr>
    </w:p>
    <w:p w14:paraId="7DE0901A" w14:textId="77777777"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522625" w16cid:durableId="29E4B5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D3068" w14:textId="77777777" w:rsidR="00226404" w:rsidRDefault="00226404" w:rsidP="00051DF8">
      <w:r>
        <w:separator/>
      </w:r>
    </w:p>
  </w:endnote>
  <w:endnote w:type="continuationSeparator" w:id="0">
    <w:p w14:paraId="427F42EE" w14:textId="77777777" w:rsidR="00226404" w:rsidRDefault="00226404" w:rsidP="00051DF8">
      <w:r>
        <w:continuationSeparator/>
      </w:r>
    </w:p>
  </w:endnote>
  <w:endnote w:type="continuationNotice" w:id="1">
    <w:p w14:paraId="1603AC83" w14:textId="77777777" w:rsidR="00226404" w:rsidRDefault="0022640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D3F64" w14:textId="77777777" w:rsidR="00226404" w:rsidRDefault="00226404" w:rsidP="00051DF8">
      <w:r>
        <w:separator/>
      </w:r>
    </w:p>
  </w:footnote>
  <w:footnote w:type="continuationSeparator" w:id="0">
    <w:p w14:paraId="45DD0C78" w14:textId="77777777" w:rsidR="00226404" w:rsidRDefault="00226404" w:rsidP="00051DF8">
      <w:r>
        <w:continuationSeparator/>
      </w:r>
    </w:p>
  </w:footnote>
  <w:footnote w:type="continuationNotice" w:id="1">
    <w:p w14:paraId="07E391D0" w14:textId="77777777" w:rsidR="00226404" w:rsidRDefault="0022640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7"/>
  </w:num>
  <w:num w:numId="2">
    <w:abstractNumId w:val="39"/>
  </w:num>
  <w:num w:numId="3">
    <w:abstractNumId w:val="28"/>
  </w:num>
  <w:num w:numId="4">
    <w:abstractNumId w:val="24"/>
  </w:num>
  <w:num w:numId="5">
    <w:abstractNumId w:val="25"/>
  </w:num>
  <w:num w:numId="6">
    <w:abstractNumId w:val="21"/>
  </w:num>
  <w:num w:numId="7">
    <w:abstractNumId w:val="14"/>
  </w:num>
  <w:num w:numId="8">
    <w:abstractNumId w:val="26"/>
  </w:num>
  <w:num w:numId="9">
    <w:abstractNumId w:val="16"/>
  </w:num>
  <w:num w:numId="10">
    <w:abstractNumId w:val="23"/>
  </w:num>
  <w:num w:numId="11">
    <w:abstractNumId w:val="1"/>
  </w:num>
  <w:num w:numId="12">
    <w:abstractNumId w:val="4"/>
  </w:num>
  <w:num w:numId="13">
    <w:abstractNumId w:val="29"/>
  </w:num>
  <w:num w:numId="14">
    <w:abstractNumId w:val="0"/>
  </w:num>
  <w:num w:numId="15">
    <w:abstractNumId w:val="27"/>
  </w:num>
  <w:num w:numId="16">
    <w:abstractNumId w:val="33"/>
  </w:num>
  <w:num w:numId="17">
    <w:abstractNumId w:val="36"/>
  </w:num>
  <w:num w:numId="18">
    <w:abstractNumId w:val="43"/>
  </w:num>
  <w:num w:numId="19">
    <w:abstractNumId w:val="18"/>
  </w:num>
  <w:num w:numId="20">
    <w:abstractNumId w:val="31"/>
  </w:num>
  <w:num w:numId="21">
    <w:abstractNumId w:val="3"/>
  </w:num>
  <w:num w:numId="22">
    <w:abstractNumId w:val="6"/>
  </w:num>
  <w:num w:numId="23">
    <w:abstractNumId w:val="42"/>
  </w:num>
  <w:num w:numId="24">
    <w:abstractNumId w:val="8"/>
  </w:num>
  <w:num w:numId="25">
    <w:abstractNumId w:val="34"/>
  </w:num>
  <w:num w:numId="26">
    <w:abstractNumId w:val="17"/>
  </w:num>
  <w:num w:numId="27">
    <w:abstractNumId w:val="7"/>
  </w:num>
  <w:num w:numId="28">
    <w:abstractNumId w:val="22"/>
  </w:num>
  <w:num w:numId="29">
    <w:abstractNumId w:val="11"/>
  </w:num>
  <w:num w:numId="30">
    <w:abstractNumId w:val="44"/>
  </w:num>
  <w:num w:numId="31">
    <w:abstractNumId w:val="40"/>
  </w:num>
  <w:num w:numId="32">
    <w:abstractNumId w:val="10"/>
  </w:num>
  <w:num w:numId="33">
    <w:abstractNumId w:val="19"/>
  </w:num>
  <w:num w:numId="34">
    <w:abstractNumId w:val="20"/>
  </w:num>
  <w:num w:numId="35">
    <w:abstractNumId w:val="35"/>
  </w:num>
  <w:num w:numId="36">
    <w:abstractNumId w:val="5"/>
  </w:num>
  <w:num w:numId="37">
    <w:abstractNumId w:val="9"/>
  </w:num>
  <w:num w:numId="38">
    <w:abstractNumId w:val="30"/>
  </w:num>
  <w:num w:numId="39">
    <w:abstractNumId w:val="12"/>
  </w:num>
  <w:num w:numId="40">
    <w:abstractNumId w:val="13"/>
  </w:num>
  <w:num w:numId="41">
    <w:abstractNumId w:val="32"/>
  </w:num>
  <w:num w:numId="42">
    <w:abstractNumId w:val="15"/>
  </w:num>
  <w:num w:numId="43">
    <w:abstractNumId w:val="2"/>
  </w:num>
  <w:num w:numId="44">
    <w:abstractNumId w:val="38"/>
  </w:num>
  <w:num w:numId="45">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72BC"/>
    <w:rsid w:val="000516AD"/>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C5E68"/>
    <w:rsid w:val="000D2E51"/>
    <w:rsid w:val="000D3336"/>
    <w:rsid w:val="000D4B95"/>
    <w:rsid w:val="000D58AB"/>
    <w:rsid w:val="000D64F1"/>
    <w:rsid w:val="000D6E3F"/>
    <w:rsid w:val="000D75DC"/>
    <w:rsid w:val="000E01FF"/>
    <w:rsid w:val="000E22C8"/>
    <w:rsid w:val="000E3934"/>
    <w:rsid w:val="000E4069"/>
    <w:rsid w:val="000E47EB"/>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1BB4"/>
    <w:rsid w:val="00112AE8"/>
    <w:rsid w:val="00112F1A"/>
    <w:rsid w:val="001153EE"/>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245"/>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1D2"/>
    <w:rsid w:val="001B49C9"/>
    <w:rsid w:val="001B5A48"/>
    <w:rsid w:val="001C23F4"/>
    <w:rsid w:val="001C3543"/>
    <w:rsid w:val="001C4AC4"/>
    <w:rsid w:val="001C4CEA"/>
    <w:rsid w:val="001C4F79"/>
    <w:rsid w:val="001C77C4"/>
    <w:rsid w:val="001D0C63"/>
    <w:rsid w:val="001D1DAA"/>
    <w:rsid w:val="001D2844"/>
    <w:rsid w:val="001D4AF0"/>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5884"/>
    <w:rsid w:val="0022606D"/>
    <w:rsid w:val="00226404"/>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2D5F"/>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0AED"/>
    <w:rsid w:val="003B2EAB"/>
    <w:rsid w:val="003B40AD"/>
    <w:rsid w:val="003B437E"/>
    <w:rsid w:val="003B6290"/>
    <w:rsid w:val="003B7073"/>
    <w:rsid w:val="003B73F6"/>
    <w:rsid w:val="003B79E3"/>
    <w:rsid w:val="003B7C34"/>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B45"/>
    <w:rsid w:val="00490C92"/>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26DF"/>
    <w:rsid w:val="004E4988"/>
    <w:rsid w:val="004E4C70"/>
    <w:rsid w:val="004E4E09"/>
    <w:rsid w:val="004E6D2F"/>
    <w:rsid w:val="004F10E9"/>
    <w:rsid w:val="004F15BF"/>
    <w:rsid w:val="004F186F"/>
    <w:rsid w:val="004F1E7F"/>
    <w:rsid w:val="004F3ADA"/>
    <w:rsid w:val="004F4540"/>
    <w:rsid w:val="004F73A7"/>
    <w:rsid w:val="004F7C51"/>
    <w:rsid w:val="004F7EB5"/>
    <w:rsid w:val="00500BE0"/>
    <w:rsid w:val="005013F5"/>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139B"/>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A6B7B"/>
    <w:rsid w:val="006B161F"/>
    <w:rsid w:val="006B200A"/>
    <w:rsid w:val="006B2C4A"/>
    <w:rsid w:val="006B44AF"/>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140"/>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F4552"/>
    <w:rsid w:val="006F4C4E"/>
    <w:rsid w:val="006F69EC"/>
    <w:rsid w:val="006F6A2C"/>
    <w:rsid w:val="00701313"/>
    <w:rsid w:val="00701323"/>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19DA"/>
    <w:rsid w:val="00742288"/>
    <w:rsid w:val="00742482"/>
    <w:rsid w:val="00744E76"/>
    <w:rsid w:val="00745AC8"/>
    <w:rsid w:val="007469FD"/>
    <w:rsid w:val="00746A9C"/>
    <w:rsid w:val="007522E2"/>
    <w:rsid w:val="00752676"/>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585D"/>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245D"/>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15DB3"/>
    <w:rsid w:val="0092120B"/>
    <w:rsid w:val="00921E6D"/>
    <w:rsid w:val="0092209D"/>
    <w:rsid w:val="00923655"/>
    <w:rsid w:val="00923C5B"/>
    <w:rsid w:val="0092601D"/>
    <w:rsid w:val="0092610E"/>
    <w:rsid w:val="00927E18"/>
    <w:rsid w:val="00931699"/>
    <w:rsid w:val="009322D7"/>
    <w:rsid w:val="0093304B"/>
    <w:rsid w:val="00934224"/>
    <w:rsid w:val="00936071"/>
    <w:rsid w:val="00936F38"/>
    <w:rsid w:val="009376AF"/>
    <w:rsid w:val="009376CD"/>
    <w:rsid w:val="00940212"/>
    <w:rsid w:val="009428FC"/>
    <w:rsid w:val="00942EC2"/>
    <w:rsid w:val="00944EC6"/>
    <w:rsid w:val="0094577F"/>
    <w:rsid w:val="0094587C"/>
    <w:rsid w:val="00945B9B"/>
    <w:rsid w:val="009467E5"/>
    <w:rsid w:val="009504CA"/>
    <w:rsid w:val="009505D8"/>
    <w:rsid w:val="009508D2"/>
    <w:rsid w:val="00950B99"/>
    <w:rsid w:val="00952941"/>
    <w:rsid w:val="00952D55"/>
    <w:rsid w:val="0095343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1274"/>
    <w:rsid w:val="0098239B"/>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A31"/>
    <w:rsid w:val="009D3B87"/>
    <w:rsid w:val="009D5198"/>
    <w:rsid w:val="009D5A5D"/>
    <w:rsid w:val="009D7467"/>
    <w:rsid w:val="009D74A6"/>
    <w:rsid w:val="009E0B98"/>
    <w:rsid w:val="009E0E87"/>
    <w:rsid w:val="009E10EF"/>
    <w:rsid w:val="009E2DC5"/>
    <w:rsid w:val="009E2F4E"/>
    <w:rsid w:val="009E46F6"/>
    <w:rsid w:val="009E5449"/>
    <w:rsid w:val="009E55AC"/>
    <w:rsid w:val="009E709B"/>
    <w:rsid w:val="009E7E69"/>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645A"/>
    <w:rsid w:val="00A466D4"/>
    <w:rsid w:val="00A47F02"/>
    <w:rsid w:val="00A50928"/>
    <w:rsid w:val="00A53724"/>
    <w:rsid w:val="00A54B2B"/>
    <w:rsid w:val="00A607F6"/>
    <w:rsid w:val="00A60806"/>
    <w:rsid w:val="00A6319E"/>
    <w:rsid w:val="00A64AFF"/>
    <w:rsid w:val="00A657D6"/>
    <w:rsid w:val="00A664C3"/>
    <w:rsid w:val="00A67DC4"/>
    <w:rsid w:val="00A70838"/>
    <w:rsid w:val="00A72629"/>
    <w:rsid w:val="00A7298F"/>
    <w:rsid w:val="00A737AB"/>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C4D2C"/>
    <w:rsid w:val="00AC507F"/>
    <w:rsid w:val="00AC5D59"/>
    <w:rsid w:val="00AC6887"/>
    <w:rsid w:val="00AD01B5"/>
    <w:rsid w:val="00AD3082"/>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99A"/>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369D"/>
    <w:rsid w:val="00B84B49"/>
    <w:rsid w:val="00B84DB2"/>
    <w:rsid w:val="00B873FD"/>
    <w:rsid w:val="00B911F1"/>
    <w:rsid w:val="00B965D1"/>
    <w:rsid w:val="00BA18CB"/>
    <w:rsid w:val="00BA1A49"/>
    <w:rsid w:val="00BA2421"/>
    <w:rsid w:val="00BA2793"/>
    <w:rsid w:val="00BA55D1"/>
    <w:rsid w:val="00BA56A5"/>
    <w:rsid w:val="00BA56AC"/>
    <w:rsid w:val="00BB0AC8"/>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567F"/>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245"/>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6D30"/>
    <w:rsid w:val="00CA0FF2"/>
    <w:rsid w:val="00CA358C"/>
    <w:rsid w:val="00CA390E"/>
    <w:rsid w:val="00CA3D0C"/>
    <w:rsid w:val="00CA4156"/>
    <w:rsid w:val="00CA622F"/>
    <w:rsid w:val="00CA654B"/>
    <w:rsid w:val="00CA7092"/>
    <w:rsid w:val="00CB2E76"/>
    <w:rsid w:val="00CB3154"/>
    <w:rsid w:val="00CB40C7"/>
    <w:rsid w:val="00CB4772"/>
    <w:rsid w:val="00CB72B8"/>
    <w:rsid w:val="00CC0591"/>
    <w:rsid w:val="00CC2102"/>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6125"/>
    <w:rsid w:val="00D06188"/>
    <w:rsid w:val="00D0620C"/>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80795"/>
    <w:rsid w:val="00D81114"/>
    <w:rsid w:val="00D843A6"/>
    <w:rsid w:val="00D854BE"/>
    <w:rsid w:val="00D87009"/>
    <w:rsid w:val="00D87E00"/>
    <w:rsid w:val="00D9134D"/>
    <w:rsid w:val="00D92DA4"/>
    <w:rsid w:val="00D93832"/>
    <w:rsid w:val="00D93914"/>
    <w:rsid w:val="00D95207"/>
    <w:rsid w:val="00D96D11"/>
    <w:rsid w:val="00DA29BD"/>
    <w:rsid w:val="00DA3414"/>
    <w:rsid w:val="00DA4833"/>
    <w:rsid w:val="00DA58F0"/>
    <w:rsid w:val="00DA6127"/>
    <w:rsid w:val="00DA7A03"/>
    <w:rsid w:val="00DA7D83"/>
    <w:rsid w:val="00DB01B2"/>
    <w:rsid w:val="00DB07A5"/>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C00"/>
    <w:rsid w:val="00E253C2"/>
    <w:rsid w:val="00E262F2"/>
    <w:rsid w:val="00E26957"/>
    <w:rsid w:val="00E31765"/>
    <w:rsid w:val="00E36FCC"/>
    <w:rsid w:val="00E37E4F"/>
    <w:rsid w:val="00E41B53"/>
    <w:rsid w:val="00E41C0F"/>
    <w:rsid w:val="00E41F8E"/>
    <w:rsid w:val="00E45739"/>
    <w:rsid w:val="00E46C08"/>
    <w:rsid w:val="00E471CF"/>
    <w:rsid w:val="00E477E8"/>
    <w:rsid w:val="00E47979"/>
    <w:rsid w:val="00E500BD"/>
    <w:rsid w:val="00E51F1C"/>
    <w:rsid w:val="00E5316E"/>
    <w:rsid w:val="00E5360F"/>
    <w:rsid w:val="00E54A76"/>
    <w:rsid w:val="00E55148"/>
    <w:rsid w:val="00E609A3"/>
    <w:rsid w:val="00E61354"/>
    <w:rsid w:val="00E62835"/>
    <w:rsid w:val="00E62BC9"/>
    <w:rsid w:val="00E65A87"/>
    <w:rsid w:val="00E65D34"/>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330"/>
    <w:rsid w:val="00EC5498"/>
    <w:rsid w:val="00EC6C86"/>
    <w:rsid w:val="00EC6F51"/>
    <w:rsid w:val="00EC7DFE"/>
    <w:rsid w:val="00ED0457"/>
    <w:rsid w:val="00ED112E"/>
    <w:rsid w:val="00ED15CB"/>
    <w:rsid w:val="00ED1BAA"/>
    <w:rsid w:val="00ED24E4"/>
    <w:rsid w:val="00ED2519"/>
    <w:rsid w:val="00ED40AC"/>
    <w:rsid w:val="00ED4FE8"/>
    <w:rsid w:val="00ED56E2"/>
    <w:rsid w:val="00ED6022"/>
    <w:rsid w:val="00ED6F9A"/>
    <w:rsid w:val="00ED75F3"/>
    <w:rsid w:val="00EE00AC"/>
    <w:rsid w:val="00EE013E"/>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579A"/>
    <w:rsid w:val="00F463C0"/>
    <w:rsid w:val="00F46B11"/>
    <w:rsid w:val="00F46F23"/>
    <w:rsid w:val="00F521FD"/>
    <w:rsid w:val="00F52DE9"/>
    <w:rsid w:val="00F53F52"/>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2FA2"/>
    <w:rsid w:val="00F8332A"/>
    <w:rsid w:val="00F83C4F"/>
    <w:rsid w:val="00F84D86"/>
    <w:rsid w:val="00F86E4A"/>
    <w:rsid w:val="00F941DF"/>
    <w:rsid w:val="00F95029"/>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uiPriority w:val="99"/>
    <w:qFormat/>
    <w:rsid w:val="00F53F52"/>
    <w:pPr>
      <w:numPr>
        <w:numId w:val="4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0F5D2-1320-4DE5-8C7D-6E2578479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2024-05-10T04:58:00Z</dcterms:created>
  <dcterms:modified xsi:type="dcterms:W3CDTF">2024-05-10T05:00:00Z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